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358DA0">
      <w:pPr>
        <w:pStyle w:val="2"/>
        <w:jc w:val="left"/>
        <w:outlineLvl w:val="9"/>
        <w:rPr>
          <w:rFonts w:ascii="方正公文小标宋" w:eastAsia="方正公文小标宋"/>
          <w:b w:val="0"/>
          <w:sz w:val="84"/>
          <w:szCs w:val="84"/>
          <w:lang w:eastAsia="zh-CN"/>
        </w:rPr>
      </w:pPr>
    </w:p>
    <w:p w14:paraId="059637D6">
      <w:pPr>
        <w:pStyle w:val="2"/>
        <w:jc w:val="left"/>
        <w:outlineLvl w:val="9"/>
        <w:rPr>
          <w:rFonts w:ascii="方正公文小标宋" w:eastAsia="方正公文小标宋"/>
          <w:b w:val="0"/>
          <w:sz w:val="84"/>
          <w:szCs w:val="84"/>
          <w:lang w:eastAsia="zh-CN"/>
        </w:rPr>
      </w:pPr>
    </w:p>
    <w:p w14:paraId="125843BB">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辽宁省本溪市本溪满族自治县</w:t>
      </w:r>
    </w:p>
    <w:p w14:paraId="41B1BCBC">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碱厂镇履行职责事项清单</w:t>
      </w:r>
    </w:p>
    <w:p w14:paraId="48FD8BF6">
      <w:pPr>
        <w:rPr>
          <w:rFonts w:ascii="方正公文小标宋" w:eastAsia="方正公文小标宋"/>
          <w:sz w:val="84"/>
          <w:szCs w:val="84"/>
          <w:lang w:eastAsia="zh-CN"/>
        </w:rPr>
      </w:pPr>
    </w:p>
    <w:p w14:paraId="25865175">
      <w:pPr>
        <w:rPr>
          <w:rFonts w:ascii="方正公文小标宋" w:eastAsia="方正公文小标宋"/>
          <w:sz w:val="84"/>
          <w:szCs w:val="84"/>
          <w:lang w:eastAsia="zh-CN"/>
        </w:rPr>
      </w:pPr>
    </w:p>
    <w:p w14:paraId="2B5784B4">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21"/>
          <w:szCs w:val="21"/>
          <w:lang w:val="en-US" w:eastAsia="en-US" w:bidi="ar-SA"/>
        </w:rPr>
        <w:id w:val="147453684"/>
        <w15:color w:val="DBDBDB"/>
        <w:docPartObj>
          <w:docPartGallery w:val="Table of Contents"/>
          <w:docPartUnique/>
        </w:docPartObj>
      </w:sdtPr>
      <w:sdtEndPr>
        <w:rPr>
          <w:rFonts w:ascii="Times New Roman" w:hAnsi="Times New Roman" w:eastAsia="方正小标宋_GBK" w:cs="Times New Roman"/>
          <w:b/>
          <w:snapToGrid w:val="0"/>
          <w:color w:val="auto"/>
          <w:spacing w:val="7"/>
          <w:kern w:val="0"/>
          <w:sz w:val="32"/>
          <w:szCs w:val="32"/>
          <w:lang w:val="en-US" w:eastAsia="zh-CN" w:bidi="ar-SA"/>
        </w:rPr>
      </w:sdtEndPr>
      <w:sdtContent>
        <w:p w14:paraId="1E278D6F">
          <w:pPr>
            <w:spacing w:before="0" w:beforeLines="0" w:after="0" w:afterLines="0" w:line="240" w:lineRule="auto"/>
            <w:ind w:left="0" w:leftChars="0" w:right="0" w:rightChars="0" w:firstLine="0" w:firstLineChars="0"/>
            <w:jc w:val="center"/>
            <w:rPr>
              <w:sz w:val="52"/>
              <w:szCs w:val="52"/>
            </w:rPr>
          </w:pPr>
          <w:r>
            <w:rPr>
              <w:rFonts w:ascii="宋体" w:hAnsi="宋体" w:eastAsia="宋体"/>
              <w:sz w:val="52"/>
              <w:szCs w:val="52"/>
            </w:rPr>
            <w:t>目录</w:t>
          </w:r>
        </w:p>
        <w:p w14:paraId="45B03DC0">
          <w:pPr>
            <w:pStyle w:val="21"/>
            <w:tabs>
              <w:tab w:val="right" w:leader="dot" w:pos="14001"/>
            </w:tabs>
            <w:rPr>
              <w:sz w:val="32"/>
              <w:szCs w:val="32"/>
            </w:rPr>
          </w:pP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color w:val="auto"/>
              <w:spacing w:val="7"/>
              <w:sz w:val="32"/>
              <w:szCs w:val="32"/>
              <w:lang w:eastAsia="zh-CN"/>
            </w:rPr>
            <w:instrText xml:space="preserve">TOC \o "1-1" \h \u </w:instrText>
          </w:r>
          <w:r>
            <w:rPr>
              <w:rFonts w:ascii="Times New Roman" w:hAnsi="Times New Roman" w:eastAsia="方正小标宋_GBK" w:cs="Times New Roman"/>
              <w:color w:val="auto"/>
              <w:spacing w:val="7"/>
              <w:sz w:val="32"/>
              <w:szCs w:val="32"/>
              <w:lang w:eastAsia="zh-CN"/>
            </w:rPr>
            <w:fldChar w:fldCharType="separate"/>
          </w: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spacing w:val="7"/>
              <w:sz w:val="32"/>
              <w:szCs w:val="32"/>
              <w:lang w:eastAsia="zh-CN"/>
            </w:rPr>
            <w:instrText xml:space="preserve"> HYPERLINK \l _Toc15423 </w:instrText>
          </w:r>
          <w:r>
            <w:rPr>
              <w:rFonts w:ascii="Times New Roman" w:hAnsi="Times New Roman" w:eastAsia="方正小标宋_GBK" w:cs="Times New Roman"/>
              <w:spacing w:val="7"/>
              <w:sz w:val="32"/>
              <w:szCs w:val="32"/>
              <w:lang w:eastAsia="zh-CN"/>
            </w:rPr>
            <w:fldChar w:fldCharType="separate"/>
          </w:r>
          <w:r>
            <w:rPr>
              <w:rFonts w:ascii="Times New Roman" w:hAnsi="Times New Roman" w:eastAsia="方正公文小标宋" w:cs="Times New Roman"/>
              <w:sz w:val="32"/>
              <w:szCs w:val="32"/>
              <w:lang w:eastAsia="zh-CN"/>
            </w:rPr>
            <w:t>基本</w:t>
          </w:r>
          <w:r>
            <w:rPr>
              <w:rFonts w:hint="eastAsia" w:ascii="Times New Roman" w:hAnsi="Times New Roman" w:eastAsia="方正公文小标宋" w:cs="Times New Roman"/>
              <w:sz w:val="32"/>
              <w:szCs w:val="32"/>
              <w:lang w:eastAsia="zh-CN"/>
            </w:rPr>
            <w:t>履职事项</w:t>
          </w:r>
          <w:r>
            <w:rPr>
              <w:rFonts w:ascii="Times New Roman" w:hAnsi="Times New Roman" w:eastAsia="方正公文小标宋" w:cs="Times New Roman"/>
              <w:sz w:val="32"/>
              <w:szCs w:val="32"/>
              <w:lang w:eastAsia="zh-CN"/>
            </w:rPr>
            <w:t>清单</w:t>
          </w:r>
          <w:r>
            <w:rPr>
              <w:sz w:val="32"/>
              <w:szCs w:val="32"/>
            </w:rPr>
            <w:tab/>
          </w:r>
          <w:r>
            <w:rPr>
              <w:sz w:val="32"/>
              <w:szCs w:val="32"/>
            </w:rPr>
            <w:fldChar w:fldCharType="begin"/>
          </w:r>
          <w:r>
            <w:rPr>
              <w:sz w:val="32"/>
              <w:szCs w:val="32"/>
            </w:rPr>
            <w:instrText xml:space="preserve"> PAGEREF _Toc15423 \h </w:instrText>
          </w:r>
          <w:r>
            <w:rPr>
              <w:sz w:val="32"/>
              <w:szCs w:val="32"/>
            </w:rPr>
            <w:fldChar w:fldCharType="separate"/>
          </w:r>
          <w:r>
            <w:rPr>
              <w:sz w:val="32"/>
              <w:szCs w:val="32"/>
            </w:rPr>
            <w:t>1</w:t>
          </w:r>
          <w:r>
            <w:rPr>
              <w:sz w:val="32"/>
              <w:szCs w:val="32"/>
            </w:rPr>
            <w:fldChar w:fldCharType="end"/>
          </w:r>
          <w:r>
            <w:rPr>
              <w:rFonts w:ascii="Times New Roman" w:hAnsi="Times New Roman" w:eastAsia="方正小标宋_GBK" w:cs="Times New Roman"/>
              <w:color w:val="auto"/>
              <w:spacing w:val="7"/>
              <w:sz w:val="32"/>
              <w:szCs w:val="32"/>
              <w:lang w:eastAsia="zh-CN"/>
            </w:rPr>
            <w:fldChar w:fldCharType="end"/>
          </w:r>
        </w:p>
        <w:p w14:paraId="40AD9876">
          <w:pPr>
            <w:pStyle w:val="21"/>
            <w:tabs>
              <w:tab w:val="right" w:leader="dot" w:pos="14001"/>
            </w:tabs>
            <w:rPr>
              <w:sz w:val="32"/>
              <w:szCs w:val="32"/>
            </w:rPr>
          </w:pP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spacing w:val="7"/>
              <w:sz w:val="32"/>
              <w:szCs w:val="32"/>
              <w:lang w:eastAsia="zh-CN"/>
            </w:rPr>
            <w:instrText xml:space="preserve"> HYPERLINK \l _Toc11575 </w:instrText>
          </w:r>
          <w:r>
            <w:rPr>
              <w:rFonts w:ascii="Times New Roman" w:hAnsi="Times New Roman" w:eastAsia="方正小标宋_GBK" w:cs="Times New Roman"/>
              <w:spacing w:val="7"/>
              <w:sz w:val="32"/>
              <w:szCs w:val="32"/>
              <w:lang w:eastAsia="zh-CN"/>
            </w:rPr>
            <w:fldChar w:fldCharType="separate"/>
          </w:r>
          <w:r>
            <w:rPr>
              <w:rFonts w:ascii="Times New Roman" w:hAnsi="Times New Roman" w:eastAsia="方正公文小标宋" w:cs="Times New Roman"/>
              <w:sz w:val="32"/>
              <w:szCs w:val="32"/>
              <w:lang w:eastAsia="zh-CN"/>
            </w:rPr>
            <w:t>配合</w:t>
          </w:r>
          <w:r>
            <w:rPr>
              <w:rFonts w:hint="eastAsia" w:ascii="Times New Roman" w:hAnsi="Times New Roman" w:eastAsia="方正公文小标宋" w:cs="Times New Roman"/>
              <w:sz w:val="32"/>
              <w:szCs w:val="32"/>
              <w:lang w:eastAsia="zh-CN"/>
            </w:rPr>
            <w:t>履职事项</w:t>
          </w:r>
          <w:r>
            <w:rPr>
              <w:rFonts w:ascii="Times New Roman" w:hAnsi="Times New Roman" w:eastAsia="方正公文小标宋" w:cs="Times New Roman"/>
              <w:sz w:val="32"/>
              <w:szCs w:val="32"/>
              <w:lang w:eastAsia="zh-CN"/>
            </w:rPr>
            <w:t>清单</w:t>
          </w:r>
          <w:r>
            <w:rPr>
              <w:sz w:val="32"/>
              <w:szCs w:val="32"/>
            </w:rPr>
            <w:tab/>
          </w:r>
          <w:r>
            <w:rPr>
              <w:sz w:val="32"/>
              <w:szCs w:val="32"/>
            </w:rPr>
            <w:fldChar w:fldCharType="begin"/>
          </w:r>
          <w:r>
            <w:rPr>
              <w:sz w:val="32"/>
              <w:szCs w:val="32"/>
            </w:rPr>
            <w:instrText xml:space="preserve"> PAGEREF _Toc11575 \h </w:instrText>
          </w:r>
          <w:r>
            <w:rPr>
              <w:sz w:val="32"/>
              <w:szCs w:val="32"/>
            </w:rPr>
            <w:fldChar w:fldCharType="separate"/>
          </w:r>
          <w:r>
            <w:rPr>
              <w:sz w:val="32"/>
              <w:szCs w:val="32"/>
            </w:rPr>
            <w:t>14</w:t>
          </w:r>
          <w:r>
            <w:rPr>
              <w:sz w:val="32"/>
              <w:szCs w:val="32"/>
            </w:rPr>
            <w:fldChar w:fldCharType="end"/>
          </w:r>
          <w:r>
            <w:rPr>
              <w:rFonts w:ascii="Times New Roman" w:hAnsi="Times New Roman" w:eastAsia="方正小标宋_GBK" w:cs="Times New Roman"/>
              <w:color w:val="auto"/>
              <w:spacing w:val="7"/>
              <w:sz w:val="32"/>
              <w:szCs w:val="32"/>
              <w:lang w:eastAsia="zh-CN"/>
            </w:rPr>
            <w:fldChar w:fldCharType="end"/>
          </w:r>
        </w:p>
        <w:p w14:paraId="1B94948B">
          <w:pPr>
            <w:pStyle w:val="21"/>
            <w:tabs>
              <w:tab w:val="right" w:leader="dot" w:pos="14001"/>
            </w:tabs>
            <w:rPr>
              <w:sz w:val="32"/>
              <w:szCs w:val="32"/>
            </w:rPr>
          </w:pP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spacing w:val="7"/>
              <w:sz w:val="32"/>
              <w:szCs w:val="32"/>
              <w:lang w:eastAsia="zh-CN"/>
            </w:rPr>
            <w:instrText xml:space="preserve"> HYPERLINK \l _Toc6632 </w:instrText>
          </w:r>
          <w:r>
            <w:rPr>
              <w:rFonts w:ascii="Times New Roman" w:hAnsi="Times New Roman" w:eastAsia="方正小标宋_GBK" w:cs="Times New Roman"/>
              <w:spacing w:val="7"/>
              <w:sz w:val="32"/>
              <w:szCs w:val="32"/>
              <w:lang w:eastAsia="zh-CN"/>
            </w:rPr>
            <w:fldChar w:fldCharType="separate"/>
          </w:r>
          <w:r>
            <w:rPr>
              <w:rFonts w:hint="eastAsia" w:ascii="Times New Roman" w:hAnsi="Times New Roman" w:eastAsia="方正公文小标宋" w:cs="Times New Roman"/>
              <w:sz w:val="32"/>
              <w:szCs w:val="32"/>
              <w:lang w:eastAsia="zh-CN"/>
            </w:rPr>
            <w:t>上级部门收回事项清单</w:t>
          </w:r>
          <w:r>
            <w:rPr>
              <w:sz w:val="32"/>
              <w:szCs w:val="32"/>
            </w:rPr>
            <w:tab/>
          </w:r>
          <w:r>
            <w:rPr>
              <w:sz w:val="32"/>
              <w:szCs w:val="32"/>
            </w:rPr>
            <w:fldChar w:fldCharType="begin"/>
          </w:r>
          <w:r>
            <w:rPr>
              <w:sz w:val="32"/>
              <w:szCs w:val="32"/>
            </w:rPr>
            <w:instrText xml:space="preserve"> PAGEREF _Toc6632 \h </w:instrText>
          </w:r>
          <w:r>
            <w:rPr>
              <w:sz w:val="32"/>
              <w:szCs w:val="32"/>
            </w:rPr>
            <w:fldChar w:fldCharType="separate"/>
          </w:r>
          <w:r>
            <w:rPr>
              <w:sz w:val="32"/>
              <w:szCs w:val="32"/>
            </w:rPr>
            <w:t>47</w:t>
          </w:r>
          <w:r>
            <w:rPr>
              <w:sz w:val="32"/>
              <w:szCs w:val="32"/>
            </w:rPr>
            <w:fldChar w:fldCharType="end"/>
          </w:r>
          <w:r>
            <w:rPr>
              <w:rFonts w:ascii="Times New Roman" w:hAnsi="Times New Roman" w:eastAsia="方正小标宋_GBK" w:cs="Times New Roman"/>
              <w:color w:val="auto"/>
              <w:spacing w:val="7"/>
              <w:sz w:val="32"/>
              <w:szCs w:val="32"/>
              <w:lang w:eastAsia="zh-CN"/>
            </w:rPr>
            <w:fldChar w:fldCharType="end"/>
          </w:r>
        </w:p>
        <w:p w14:paraId="2EE9DA1C">
          <w:pPr>
            <w:pStyle w:val="2"/>
            <w:jc w:val="both"/>
            <w:outlineLvl w:val="9"/>
            <w:rPr>
              <w:rFonts w:ascii="Times New Roman" w:hAnsi="Times New Roman" w:eastAsia="方正小标宋_GBK" w:cs="Times New Roman"/>
              <w:color w:val="auto"/>
              <w:spacing w:val="7"/>
              <w:sz w:val="32"/>
              <w:szCs w:val="32"/>
              <w:lang w:eastAsia="zh-CN"/>
            </w:rPr>
          </w:pPr>
          <w:r>
            <w:rPr>
              <w:rFonts w:ascii="Times New Roman" w:hAnsi="Times New Roman" w:eastAsia="方正小标宋_GBK" w:cs="Times New Roman"/>
              <w:color w:val="auto"/>
              <w:spacing w:val="7"/>
              <w:sz w:val="32"/>
              <w:szCs w:val="32"/>
              <w:lang w:eastAsia="zh-CN"/>
            </w:rPr>
            <w:fldChar w:fldCharType="end"/>
          </w:r>
        </w:p>
      </w:sdtContent>
    </w:sdt>
    <w:p w14:paraId="4C85F7FA">
      <w:pPr>
        <w:jc w:val="center"/>
        <w:rPr>
          <w:rFonts w:hint="eastAsia" w:eastAsiaTheme="minorEastAsia"/>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0B71A62F">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416"/>
      <w:bookmarkStart w:id="1" w:name="_Toc172077949"/>
      <w:bookmarkStart w:id="2" w:name="_Toc15423"/>
      <w:bookmarkStart w:id="3" w:name="_Toc172077551"/>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07D399AD">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BDCBA">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C744F">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22452179">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5027F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1F69A8A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C95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569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宣传和执行党中央、上级党组织及本级党组织的决议，按照党中央部署开展党内集中教育，加强政治建设，深刻领悟“两个确立”的决定性意义，坚决做到“两个维护”</w:t>
            </w:r>
          </w:p>
        </w:tc>
      </w:tr>
      <w:tr w14:paraId="7076020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485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E12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505271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220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6D6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社区）网格化服务管理，抓好农村基层党建“一抓两整三全面”专项行动，开展“党群共同致富”活动，推动村党组织开展领办创办合作社，助推村集体经济发展和农民致富增收；开展“党旗映社区”活动，推进“幸福新社区”建设</w:t>
            </w:r>
          </w:p>
        </w:tc>
      </w:tr>
      <w:tr w14:paraId="4689E08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68B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0C5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落实党代表大会代表任期制，做好各级党代表大会代表推荐和选举工作，组织召开党员代表大会，推进党代表工作室建设，做好联络服务，支持保障党代表充分履职</w:t>
            </w:r>
          </w:p>
        </w:tc>
      </w:tr>
      <w:tr w14:paraId="043DB4F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5C4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E0A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5BB4D65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19F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134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社区）、“两企三新”等党组织建设，指导村（社区）及以下党组织的设置、调整和换届，加强村（社区）“两委”班子及成员管理，开展软弱涣散党组织排查整顿，推动党支部标准化规范化建设，履行“四议一审两公开”及“四议两公开”监督程序，规范党建工作经费使用管理，培育提升基层党建品牌</w:t>
            </w:r>
          </w:p>
        </w:tc>
      </w:tr>
      <w:tr w14:paraId="16E9EC1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2BA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4D3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居）民委员会、村（居）务监督委员会组织建设，做好村（居）民委员会换届和补选，负责村（居）民委员会设立、撤销、范围调整的提议，支持保障依法开展自治活动</w:t>
            </w:r>
          </w:p>
        </w:tc>
      </w:tr>
      <w:tr w14:paraId="2656F92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DD6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0C8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296A8A1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9F5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17A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负责镇机关干部教育、培训、选拔、考核、管理和监督工作，抓好年轻干部储备、管理和培养</w:t>
            </w:r>
          </w:p>
        </w:tc>
      </w:tr>
      <w:tr w14:paraId="0015298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468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432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负责村（社区）干部的教育、培训、选拔、考核、管理和监督工作，做好村（社区）干部学历提升工作，加强社区工作者队伍建设与管理，加强村（社区）后备人才队伍管理</w:t>
            </w:r>
          </w:p>
        </w:tc>
      </w:tr>
      <w:tr w14:paraId="050183F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039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035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负责派驻镇干部管理工作，抓好驻村干部履职的管理和服务保障，做好驻村工作队巩固脱贫攻坚成果的日常、年终考核工作</w:t>
            </w:r>
          </w:p>
        </w:tc>
      </w:tr>
      <w:tr w14:paraId="1B172BD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165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A29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抓好离退休干部党建工作，引导离退休干部作用发挥，开展离退休干部思想教育和管理监督，做好离退休干部服务保障、关心关爱工作</w:t>
            </w:r>
          </w:p>
        </w:tc>
      </w:tr>
      <w:tr w14:paraId="06BD90B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E94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C47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705AA59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EF7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3ED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镇、村（社区）两级监督体系建设，发现、处理群众身边的腐败问题和不正之风，按权限分类处置举报和问题线索、研究决定党员和监察对象处分，受理党员的控告和申诉，落实“阳光三务”公示公开工作</w:t>
            </w:r>
          </w:p>
        </w:tc>
      </w:tr>
      <w:tr w14:paraId="1B112D5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F03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FF2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2C03ECC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D7A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D07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加强新就业群体党建和服务凝聚工作，倡导全社会为新就业群体“打开方便之门”，为新就业群体提供暖心服务，设置爱心服务点位</w:t>
            </w:r>
          </w:p>
        </w:tc>
      </w:tr>
      <w:tr w14:paraId="3F477B1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6E8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811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61F535C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712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499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做好人大换届选举工作，组织召开人民代表大会，履行镇人大主席团职责，依法开展审查、监督，组织人大代表视察和评议工作，办理人大代表建议和议案，推动人大代表之家（室）建设，服务保障人大代表履职</w:t>
            </w:r>
          </w:p>
        </w:tc>
      </w:tr>
      <w:tr w14:paraId="3197304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1B6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3E0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01B735E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17C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60B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0B5740B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17F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5EB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38224D9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39A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CA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04D9CF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6D6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402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14:paraId="7DFB5F07">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324AD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二、经济发展（15项）</w:t>
            </w:r>
          </w:p>
        </w:tc>
      </w:tr>
      <w:tr w14:paraId="1351170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436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BE0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w:t>
            </w:r>
          </w:p>
        </w:tc>
      </w:tr>
      <w:tr w14:paraId="7C4899A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891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CCB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制定年度项目计划，跟进在谈、签约、开工、在建、投产项目情况</w:t>
            </w:r>
          </w:p>
        </w:tc>
      </w:tr>
      <w:tr w14:paraId="10A4616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46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7AE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12D336E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F76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B4F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优化营商环境，落实“项目管家”制度，加强惠企政策宣传，培育壮大市场主体，鼓励“个转企、小升规”，做好辖区企业服务工作</w:t>
            </w:r>
          </w:p>
        </w:tc>
      </w:tr>
      <w:tr w14:paraId="1364E7F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A29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210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23F333A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118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AAB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5ADE615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D6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217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2340822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235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F05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605AF2C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D33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9CF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267F5AC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5A5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B8B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6D3AE48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B1D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9D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4DC89CB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BDA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524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3A1384A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2A9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0A3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0C4E22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A02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505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383D3FA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0D8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CF2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服务镇域内的国有企业</w:t>
            </w:r>
          </w:p>
        </w:tc>
      </w:tr>
      <w:tr w14:paraId="1D7427F6">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74C6E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三、民生服务（19项）</w:t>
            </w:r>
          </w:p>
        </w:tc>
      </w:tr>
      <w:tr w14:paraId="3EB7F14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CD2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C86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263A54A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A6D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386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349C2A7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B27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3C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5EB72E0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7CC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6D7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184C2D6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3A5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AF8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推进便民服务中心（站）建设，指导村（社区）为村（居）民提供“帮办、代办、一站式”便民服务，依法依规出具各类证明材料</w:t>
            </w:r>
          </w:p>
        </w:tc>
      </w:tr>
      <w:tr w14:paraId="2E7D6E2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F7D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3EF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17F82E0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4F5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86C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5363900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A78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C99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082B0C0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221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820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指导村（社区）制定、修订村规民约（居民公约），并依法依规进行备案</w:t>
            </w:r>
          </w:p>
        </w:tc>
      </w:tr>
      <w:tr w14:paraId="1AEDB7B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7D5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66A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085847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05D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8EC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4F01BB5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D68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876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14:paraId="2ED93C4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9B3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587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11FB593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A56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C19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2F710A0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1FC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5CE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开展未成年人保护法律法规宣传，负责未成年人保护服务，支持和指导村（居）民委员会做好未成年人保护工作，加强未成年人思想道德建设</w:t>
            </w:r>
          </w:p>
        </w:tc>
      </w:tr>
      <w:tr w14:paraId="56624A9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374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B86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07303DB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3D3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A8F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70C1327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135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671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5A951A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794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EBA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222587F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625C1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490C5D3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AFB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5C7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落实法治建设责任，推进法治政府建设，开展法治宣传教育，加强法治文化阵地建设，做好党政主要负责人述法有关工作，指导村（社区）做好依法治理工作，提高群众法律意识和法治观念</w:t>
            </w:r>
          </w:p>
        </w:tc>
      </w:tr>
      <w:tr w14:paraId="4401EC9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98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7E1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镇人民调解委员会，统筹派出所、司法所、人民法庭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398BC80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CF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BF3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推进基层治理网格化建设，指导村（社区）科学划分网格，建立网格员队伍，开展业务指导、能力建设和日常管理</w:t>
            </w:r>
          </w:p>
        </w:tc>
      </w:tr>
      <w:tr w14:paraId="21B0E36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3B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32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负责人民建议征集工作，承办职责范围内的12345热线、人民网、市长信箱、本溪县信箱、百姓热线等社情民意平台诉求事项，做好答复和回访工作</w:t>
            </w:r>
          </w:p>
        </w:tc>
      </w:tr>
      <w:tr w14:paraId="4D1C281C">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5A92E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五、乡村振兴（19项）</w:t>
            </w:r>
          </w:p>
        </w:tc>
      </w:tr>
      <w:tr w14:paraId="788634A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7F9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063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69E2451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136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433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3179E3F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75E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9CB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1C6CD4C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366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D6F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开展农业技术推广、培训、服务指导工作，做好黑土地保护利用项目，对农户施肥进行监测调查，促进农业机械化发展</w:t>
            </w:r>
          </w:p>
        </w:tc>
      </w:tr>
      <w:tr w14:paraId="53734A4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D5D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A87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49411A7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632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2A6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开展畜牧业疫病防控知识宣传，加强养殖技术的指导和服务，落实动物疫病预防制度，实施动物疫病强制免疫计划，做好畜禽养殖用地管理工作</w:t>
            </w:r>
          </w:p>
        </w:tc>
      </w:tr>
      <w:tr w14:paraId="2F78589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C0D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BC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负责农村饮水工程项目申报及农村饮水安全管理、水质检测、水费收缴、维修养护以及水源地保护工作，排查村级供水情况，推动解决农村饮水问题</w:t>
            </w:r>
          </w:p>
        </w:tc>
      </w:tr>
      <w:tr w14:paraId="5CD62F1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F7A1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513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14:paraId="6F513DE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413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29D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负责农村村民宅基地审批和农村村民非空闲地一层住宅建设规划许可证核发工作，做好对住宅建设开工手续的办理及监督工作</w:t>
            </w:r>
          </w:p>
        </w:tc>
      </w:tr>
      <w:tr w14:paraId="7D2FE6D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19E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897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36C887B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7B4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F66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68DFD66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A0D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8FC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做好镇本级路灯、农村垃圾池等基础设施建设和管理工作，负责协调组织申请对村级道路及桥梁、河堤护岸、农田灌溉等基础设施的维护</w:t>
            </w:r>
          </w:p>
        </w:tc>
      </w:tr>
      <w:tr w14:paraId="05EFE4C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1EF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73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负责农村人居环境常态化整治工作，做好对市场化服务主体开展环境卫生清理的检查工作，负责对损坏公共设施、乱堆乱放、破坏村容镇貌的行为进行排查、制止、上报</w:t>
            </w:r>
          </w:p>
        </w:tc>
      </w:tr>
      <w:tr w14:paraId="0C28D07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317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5FA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负责农村户厕问题排查和农村户厕改造奖补申请的初核，申请农村“厕所革命”相关项目；做好农村公共厕所的建设、管护等相关工作</w:t>
            </w:r>
          </w:p>
        </w:tc>
      </w:tr>
      <w:tr w14:paraId="2031B97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15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332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1389AA6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9A4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6EC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6214DCC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F8F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8F1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438FD33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CE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E6F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1930599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2FD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420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14:paraId="3A384196">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A29E6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六、生态环保（10项）</w:t>
            </w:r>
          </w:p>
        </w:tc>
      </w:tr>
      <w:tr w14:paraId="38DDC66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0BA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45C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5D1A49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702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03A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负责对生态环保的信访举报、重点问题反馈、视频曝光通报进行核实，做好涉及镇、村（社区）层面生态环境保护问题的整改工作</w:t>
            </w:r>
          </w:p>
        </w:tc>
      </w:tr>
      <w:tr w14:paraId="07AFAA4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33F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394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落实河长制，组织河长开展巡河工作，对发现的问题及时处理或制止，不能处理或制止无效的上报，做好村级水管员招聘、培训、监管和考核工作</w:t>
            </w:r>
          </w:p>
        </w:tc>
      </w:tr>
      <w:tr w14:paraId="485B9FD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1C6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12C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14:paraId="7FCE6EF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784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355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12F893E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41F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D14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开展卫片图斑核查工作，排查非法占用宅基地、河滩地、林地、耕地、荒地情况，受理群众的举报和投诉，对非法占用行为及时劝告、制止并上报，负责对私搭乱建进行整改</w:t>
            </w:r>
          </w:p>
        </w:tc>
      </w:tr>
      <w:tr w14:paraId="14A73F3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290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883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33B4250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1F0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E6F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2C84AB2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50B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9DC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14:paraId="544A9AF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7F7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81E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加强生态公益林保护，开展森林病虫害的调查及巡查，开展森林病虫害的疫木即死即清、集中除治工作</w:t>
            </w:r>
          </w:p>
        </w:tc>
      </w:tr>
      <w:tr w14:paraId="6DD46C3B">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B5CFA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七、城乡建设（11项）</w:t>
            </w:r>
          </w:p>
        </w:tc>
      </w:tr>
      <w:tr w14:paraId="2060BE3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446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2C2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落实路长制，加强乡村道路交通安全管理，强化护路队伍建设，开展养护技能培训，及时组织协调修复和抢通受损乡村道路，开展乡村道路日常巡查和养护，发现问题及时上报</w:t>
            </w:r>
          </w:p>
        </w:tc>
      </w:tr>
      <w:tr w14:paraId="30BA429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83B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78F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7DF8FC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E5B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7D9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4B2193D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242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DFE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负责对主要干道、村民文化广场等附近的公益广告定期更新、维护等工作</w:t>
            </w:r>
          </w:p>
        </w:tc>
      </w:tr>
      <w:tr w14:paraId="10B0F81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B73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AE7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2E47621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5C0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3CE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6C5DB9B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C6D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81B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镇国土空间规划及城镇开发边界外乡村地区的“多规合一”实用性村庄规划并执行，突出民族文化特色、自然景观与建设协调发展，协商确定规划内容，负责对镇、村规划区内违反城乡规划行为进行劝导、制止和上报，对权限范围内的组织整改</w:t>
            </w:r>
          </w:p>
        </w:tc>
      </w:tr>
      <w:tr w14:paraId="691349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610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0C3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负责村庄、集镇规划区内公共场所修建临时建筑等设施审批</w:t>
            </w:r>
          </w:p>
        </w:tc>
      </w:tr>
      <w:tr w14:paraId="3BAFE4E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BAD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04D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负责建成区污水处理设施及配套管网的管理维护，做好污水处理设施运行管理工作</w:t>
            </w:r>
          </w:p>
        </w:tc>
      </w:tr>
      <w:tr w14:paraId="50EC0F5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744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3B4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开展镇、村（社区）垃圾治理和分类的宣传引导工作，加强对公共场所、公路、乡村道路、田间的巡查检查</w:t>
            </w:r>
          </w:p>
        </w:tc>
      </w:tr>
      <w:tr w14:paraId="66382B8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AF6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792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落实双段长制，开展铁路安全宣传教育，强化护路队员管理，开展铁路隐患排查整治工作，负责铁路动迁的核量、协议签订、报送审核、资金拨付等工作</w:t>
            </w:r>
          </w:p>
        </w:tc>
      </w:tr>
      <w:tr w14:paraId="67DFC556">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7A782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八、文化和旅游（8项）</w:t>
            </w:r>
          </w:p>
        </w:tc>
      </w:tr>
      <w:tr w14:paraId="3583E73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207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3E6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制定文体旅产业发展规划，推进文体旅融合发展，打造乡村旅游示范点，积极申报乡村旅游重点村等品牌，负责管理权限内乡村旅游服务设施的管理和维护</w:t>
            </w:r>
          </w:p>
        </w:tc>
      </w:tr>
      <w:tr w14:paraId="2C05670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247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324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02D5E87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149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ADD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7E4E8DC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AA7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B93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挖掘、弘扬、发展红色文化和优秀民俗文化，打造地方特色文化品牌，做好碱厂舞龙表演、元宵节彩灯非物质文化遗产申报、保护、传承工作</w:t>
            </w:r>
          </w:p>
        </w:tc>
      </w:tr>
      <w:tr w14:paraId="1B416FE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12F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EF4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推进旅游产业发展，打造龙道沟特色旅游，负责发掘、培育本地红色旅游、研学旅游及休闲旅游目的地等各类旅游产业项目，加大招商引资力度，鼓励社会资本参与本地旅游资源保护和开发</w:t>
            </w:r>
          </w:p>
        </w:tc>
      </w:tr>
      <w:tr w14:paraId="1869340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97B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D3E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推进发展民宿经济，鼓励支持文旅企业开展国家甲乙丙级民宿等申报工作，开发包装符合本地特色的旅游商品，宣传、推广、规范沿河民宿新文旅业态，打造休闲娱乐一体化新旅游模式</w:t>
            </w:r>
          </w:p>
        </w:tc>
      </w:tr>
      <w:tr w14:paraId="3CE3F24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510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D3B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挖掘历史人文商业底蕴，打造以碱厂百年古集为依托的文化商业街</w:t>
            </w:r>
          </w:p>
        </w:tc>
      </w:tr>
      <w:tr w14:paraId="2EC4EB2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0C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866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负责辖区内文物保护工作，做好明长城遗址日常管理</w:t>
            </w:r>
          </w:p>
        </w:tc>
      </w:tr>
      <w:tr w14:paraId="55B48ED3">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552EF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九、应急管理及消防（4项）</w:t>
            </w:r>
          </w:p>
        </w:tc>
      </w:tr>
      <w:tr w14:paraId="7254C97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264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4E9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70DADEC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FEB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482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100A9D0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AAF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35B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居）民委员会开展群众性消防工作</w:t>
            </w:r>
          </w:p>
        </w:tc>
      </w:tr>
      <w:tr w14:paraId="6190F9A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EAE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E65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负责民主水库防汛预案编制及审批，加强水库坝体及基础设施日常巡查和安全管理，发现安全隐患及时向水库管理机构反馈，做好水库三个责任人公示牌的更新及维护</w:t>
            </w:r>
          </w:p>
        </w:tc>
      </w:tr>
      <w:tr w14:paraId="32C033A3">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3BE0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十、综合政务（11项）</w:t>
            </w:r>
          </w:p>
        </w:tc>
      </w:tr>
      <w:tr w14:paraId="4B8C1C3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AB5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4F7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推进政务服务标准化、规范化、便利化，做好各类政务平台的使用，抓好数字政府建设，完善镇综合指挥调度体系</w:t>
            </w:r>
          </w:p>
        </w:tc>
      </w:tr>
      <w:tr w14:paraId="30F3B9E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CD8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75A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72561FD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EB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F62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负责镇本级及村（社区）财务管理工作，做好财政预决算、会计核算、财务收支审核、内部审计、财政资金和非税收入管理及财政预算一体化平台工作，加强行政事业性国有资产管理及监督执行</w:t>
            </w:r>
          </w:p>
        </w:tc>
      </w:tr>
      <w:tr w14:paraId="3A58D34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E4B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C7A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落实村（社区）组织运转经费的“村财乡管”制度，负责村（社区）干部待遇保障，做好村（社区）干部绩效考核</w:t>
            </w:r>
          </w:p>
        </w:tc>
      </w:tr>
      <w:tr w14:paraId="7B7A1E4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AED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E4E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0F552DF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2CF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E05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422E43F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6AA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460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54512F2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4A1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B4F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贯彻执行档案法律法规，建立健全档案管理制度，推进档案室规范化建设，负责档案收集、整理、归档、移交进馆、销毁等工作，做好档案查询工作，指导监督所属企业和村（社区）做好档案工作</w:t>
            </w:r>
          </w:p>
        </w:tc>
      </w:tr>
      <w:tr w14:paraId="16CFAEC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460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790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做好年鉴、大事记及地情文献资料收集、整理、编撰报送工作，开展史志、地方志资料收集并协助编修工作，指导村志编纂工作</w:t>
            </w:r>
          </w:p>
        </w:tc>
      </w:tr>
      <w:tr w14:paraId="6CF5683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5AD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8E4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r w14:paraId="4A4D9F7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867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837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代管从农牧场改革组建的国有企业</w:t>
            </w:r>
          </w:p>
        </w:tc>
      </w:tr>
    </w:tbl>
    <w:p w14:paraId="72809531">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1575"/>
      <w:bookmarkStart w:id="5" w:name="_Toc172077417"/>
      <w:bookmarkStart w:id="6" w:name="_Toc172077552"/>
      <w:bookmarkStart w:id="7" w:name="_Toc172077950"/>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28F701D7">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30D61">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B8368">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00A6">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1F245">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21772">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镇</w:t>
            </w:r>
            <w:r>
              <w:rPr>
                <w:rFonts w:ascii="Times New Roman" w:hAnsi="Times New Roman" w:eastAsia="方正公文黑体"/>
                <w:color w:val="auto"/>
                <w:lang w:eastAsia="zh-CN" w:bidi="ar"/>
              </w:rPr>
              <w:t>配合职责</w:t>
            </w:r>
          </w:p>
        </w:tc>
      </w:tr>
      <w:tr w14:paraId="1AE7FDD0">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00581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一、党的建设（5项）</w:t>
            </w:r>
          </w:p>
        </w:tc>
      </w:tr>
      <w:tr w14:paraId="2BAB202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8EE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31D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开展村（社区）党组织书记县级备案管理工作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494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88B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40E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2.做好村（社区）党组织书记日常管理工作。</w:t>
            </w:r>
          </w:p>
        </w:tc>
      </w:tr>
      <w:tr w14:paraId="02BBFF6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597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0D6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2F8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E57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809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38F803E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9E5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F5F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A00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3E5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BB9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3.将审计结果在所在村（社区）公布；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68250A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665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74D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7F7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80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1.统筹实施全县农家书屋（社区书屋）的整体规划；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33E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3.定期更新维护农家书屋（社区书屋）书籍等出版物。</w:t>
            </w:r>
          </w:p>
        </w:tc>
      </w:tr>
      <w:tr w14:paraId="4917237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B19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C87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BAB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9A2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984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6AE8D6F2">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3B21E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341E566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BCA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819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D6C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7EF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919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2F2810C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CC9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67D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D98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0C6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1.做好乡镇（街道）上报数据汇总、分析利用和上报，分析研判企业生产运行情况；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2.根据乡镇（街道）上报规上和规下企业情况，定期汇总重点工业企业经济运行、项目建设情况，并做好全县企业经济运行的预警及监控工作。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3B4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0BAF9BD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208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C14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16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B6D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214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042E8C4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958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166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D54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37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2.负责县域内电商直播基地、淘宝服务中心建设。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AC0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1.推荐符合条件的电商直播基地、淘宝服务中心；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2BB9501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18C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F08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004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3C6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BC1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14:paraId="7547144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1212C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三、民生服务（30项）</w:t>
            </w:r>
          </w:p>
        </w:tc>
      </w:tr>
      <w:tr w14:paraId="040F52E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550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9E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16A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F60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D69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4.统计并上报村（社区）劳动力转移就业和农民工动态监测报表；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1C4C33A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672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725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676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 xml:space="preserve">          县卫生健康局
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5C3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810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1.配合县教育局等部门做好食品安全突发紧急事件的应急处置；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2.配合县教育局等部门协调第三方做好餐厨废弃物运输处理工作。</w:t>
            </w:r>
          </w:p>
        </w:tc>
      </w:tr>
      <w:tr w14:paraId="2B1CB28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14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A4C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5C7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793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3.县住房城乡建设局负责指导房屋使用安全责任人和使用人依法对校外培训机构用房的安全进行检测鉴定；做好违规培训牌匾、注销机构牌匾的拆除工作；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009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43BE132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34C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6ED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61C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7FC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5C2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2.排查义务教育阶段适龄儿童入学情况并上报，协助对未入学或在校不稳定的学生进行家访劝返。</w:t>
            </w:r>
          </w:p>
        </w:tc>
      </w:tr>
      <w:tr w14:paraId="6919C75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5B8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4B4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2A7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B88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9D1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协助做好非公办教师的生存认证工作。</w:t>
            </w:r>
          </w:p>
        </w:tc>
      </w:tr>
      <w:tr w14:paraId="5967FEE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B1C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7B9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F26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C2B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6EA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1.上报村（社区）饮水工程涉及的供水人口、水质、水量、运行管理、水费收缴相关材料；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2.参与村（社区）饮水工程竣工验收。</w:t>
            </w:r>
          </w:p>
        </w:tc>
      </w:tr>
      <w:tr w14:paraId="5CD01B5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C29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B50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FB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5E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9C3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1.协助退役军人完成安置落户工作；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2.按时核实上报无军籍职工及无军籍职工遗属生存状态并上传至“一卡通”系统。</w:t>
            </w:r>
          </w:p>
        </w:tc>
      </w:tr>
      <w:tr w14:paraId="7132F6D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FA5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1E7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2EE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A7D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21C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1.开展祭扫纪念活动，做好烈士陵园及零散烈士纪念设施日常巡查，发现问题及时上报；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2.更新录入烈士褒扬系统信息，挖掘和宣传英烈事迹；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5E3D1CE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DC4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2FC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260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BB0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4B3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1.为镇民政服务站提供办公、服务场所和必要办公条件；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2.对镇民政服务站驻站人员进行监管，协调、指导驻站人员完成各项任务。</w:t>
            </w:r>
          </w:p>
        </w:tc>
      </w:tr>
      <w:tr w14:paraId="6651F8B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C3B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EF3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CFC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80F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6D2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1.开展本行政区域界线的勘定和定期联检，配合开展界线界桩巡查管护工作，负责域内行政区划变更调整和镇政府驻地迁移的申报，参与县乡两级行政区域边界争议的调查和调处；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04F165C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C02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F3C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3B3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699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21E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69E4A4A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059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CCD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3CB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8E6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614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7918E2F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DF9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4D4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A7E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13E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1.制定具体工作计划；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2.明确“两癌”初筛、复诊、指导、质控等服务机构的职责，督促工作落实。</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44E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配合做好妇女“两癌”筛查动员宣传工作，发动符合条件妇女到定点医疗机构进行筛查。</w:t>
            </w:r>
          </w:p>
        </w:tc>
      </w:tr>
      <w:tr w14:paraId="3728F6C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327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9C2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FC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294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752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5.传染病暴发、流行时，在上级部门组织指导下，发现辖区出现疫情，及时上报疾控部门，做好村（社区）防控工作。</w:t>
            </w:r>
          </w:p>
        </w:tc>
      </w:tr>
      <w:tr w14:paraId="29D14C4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042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55C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FC1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75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4BA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1.负责协助项目服务对象完成申请与相关材料的收集，组织村（社区）与服务机构进行工作衔接，负责项目实施过程档案相应内容的审核确认，负责辖区内服务对象的过程跟踪及验收回访；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2C27F09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5E7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686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377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44C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AAB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7556C83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BB0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BE1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BD3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8CA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20F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负责本镇“全国儿童福利信息系统”中各类服务对象和工作人员信息录入、业务办理、数据统计和动态更新等工作。</w:t>
            </w:r>
          </w:p>
        </w:tc>
      </w:tr>
      <w:tr w14:paraId="317887F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5B1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5DD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ECC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F09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565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02D15EF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C3C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B69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243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875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E83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1.收集报送认定材料并提出审核意见，上报统计表和资金发放系统数据；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79A57E7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D81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CBD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3CC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AE6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C52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帮助村（居）民办理基本医疗保险参保登记、信息变更及咨询查询工作。</w:t>
            </w:r>
          </w:p>
        </w:tc>
      </w:tr>
      <w:tr w14:paraId="0AB1FAD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122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ECB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074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7DB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E68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2E75701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0A3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CAC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3BE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FA0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812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0E3AA97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40C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1A9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0A3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828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73F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6830CFE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4B0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939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86D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FFE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2B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2FE7AF5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291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CDC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FC6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EBC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DF9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7C5DA6B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6E5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69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39F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496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C0B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3.开展残疾人基本状况调查及动态更新上报。</w:t>
            </w:r>
          </w:p>
        </w:tc>
      </w:tr>
      <w:tr w14:paraId="00308FD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96B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CA2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BCF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B2F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0DA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76145AA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C33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B01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C2A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E00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61C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14:paraId="3B07187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28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14D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B8E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203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1.市社保中心本溪县分中心负责比对低保、特困、重残等人员增减变动数据和参保人员数据，确定需要政府代缴人员名单，报送至县人力资源社会保障局；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E87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14:paraId="71854AC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B69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6C9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DC5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F20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7E2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14:paraId="2EA3F97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64BD2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四、平安法治（2项）</w:t>
            </w:r>
          </w:p>
        </w:tc>
      </w:tr>
      <w:tr w14:paraId="3ED046D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2AF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44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33E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CA2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520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1.镇建立公共法律服务工作站，村（社区）建立公共法律服务工作室，配合提供引导法律援助、公证、司法鉴定等公共法律服务；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2.做好基层法律服务站点建设，提供场所保障，对“四个重大”问题提出法律意见需求。</w:t>
            </w:r>
          </w:p>
        </w:tc>
      </w:tr>
      <w:tr w14:paraId="4F4054D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F7F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F17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98D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113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690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2.将工作表现优秀、工作成效突出的“法律明白人”列入工作表彰范畴，组织村（社区）做好“法律明白人”的动态管理工作。</w:t>
            </w:r>
          </w:p>
        </w:tc>
      </w:tr>
      <w:tr w14:paraId="2B13DEFF">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B44DC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007A0C9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3EA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8FD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做好东北黑土地保护性耕作、深松整地补助项目工作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3AE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B22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429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60A91B9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158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426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60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3F8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3E6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206B176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1E8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16F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364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532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24F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2FCA857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C70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AB4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675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0C3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39D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7E3D736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050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ADF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571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6D3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413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3.协助农产品采样抽样；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2375FA6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89A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FF7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111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29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F09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05E6B38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BF71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873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D65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F04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4.负责拖拉机、联合收割机驾驶员办证工作。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B3C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2.负责收集需要检验和落户的拖拉机、联合收割机信息及需要考取拖拉机、联合收割机驾驶证信息。</w:t>
            </w:r>
          </w:p>
        </w:tc>
      </w:tr>
      <w:tr w14:paraId="1FF62F9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946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80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726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57F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824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6E056D8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436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FB1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6DA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75D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481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356F5AD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371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FD9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823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97C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935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2782630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BF0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009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30D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435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6A4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538131A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8E7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48C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524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471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54A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3.指导村民委员会收到贷款申请材料后，出具初审推荐证明。</w:t>
            </w:r>
          </w:p>
        </w:tc>
      </w:tr>
      <w:tr w14:paraId="1EA9C96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162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9F5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966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F6B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E61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4C33F4B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2DC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E61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502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006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C61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3.配合开展移民入户调查工作，提供移民村（社区）基本情况；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14:paraId="0F2FBBB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C55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A25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43B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173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F0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543ED08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356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471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做好受污染耕地安全利用调查工作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0B2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BFA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1.负责采购第三方服务，制定全县受污染耕地安全利用调查工作方案；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2.协调第三方与乡镇（街道）对接开展受污染耕地安全利用调查工作，形成核算报告；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3.组织农户参加技术培训，安全利用受污染耕地。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57B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1.配合第三方开展受污染耕地安全利用调查工作；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2.配合第三方指导农户做好安全利用类耕地种植农产品工作。</w:t>
            </w:r>
          </w:p>
        </w:tc>
      </w:tr>
      <w:tr w14:paraId="01E4150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469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E4D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D22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276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2.本溪市本溪生态环境分局负责开展农药包装废弃物回收处理的宣传、教育和指导，负责农膜回收、再利用过程和农药包装废弃物回收处理活动环境污染防治的监督管理；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32D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14:paraId="0C59737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6AF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6D5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E9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A33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8FE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14:paraId="6A24DF4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56E83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六、自然资源（19项）</w:t>
            </w:r>
          </w:p>
        </w:tc>
      </w:tr>
      <w:tr w14:paraId="50FF784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6D6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BFD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871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县自然资源局县</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9F9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2.县自然资源局、县农业农村局根据职责分别负责违法用地调查工作，防止大棚房问题、违建别墅、乱占耕地行为反弹，对发现的侵占、破坏耕地和基本农田等违法行为进行查处与整改。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75E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落实耕地网格化管理及区块责任人制度，定期开展巡查，定期排查违建大棚房、违建别墅、乱占耕地建房等行为，发现破坏耕地违法行为及时制止并上报，配合开展整改和查处。</w:t>
            </w:r>
          </w:p>
        </w:tc>
      </w:tr>
      <w:tr w14:paraId="5F30430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662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6C6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开展矿产资源勘查、开采监督管理和矿山生态修复工作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1ED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452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3.负责矿山生态修复工作。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523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1.对辖区内矿产资源勘查、开采活动进行巡查，发现违法违规行为及时制止并上报；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2.对治理复绿后的废弃矿山开展日常巡查工作。</w:t>
            </w:r>
          </w:p>
        </w:tc>
      </w:tr>
      <w:tr w14:paraId="35D5BA1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4F9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26E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0B2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626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243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6BCD871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BB4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06B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675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8AC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3A1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1.向企业、村（居）民宣传历史遗留有照无档房屋办证建档相关政策；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4827832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FA0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EED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0D0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B89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D1F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66A944B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C11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6E8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00E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00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D8F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4F145B7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F46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135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289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6C9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EF7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1.组织实施本镇林业科技推广规划，做好林业实用技术、高新技术以及新品种的推广工作；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14:paraId="041F9ED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9FF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17A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280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865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EB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1BDD1A9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EB8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895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0A5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9A7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D0D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1.组织编制镇森林经营方案；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14:paraId="4B07F0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FA8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2DF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CD9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8AC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E04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5BA620D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632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9E9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08E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C70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536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488D806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A93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BDE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F62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94B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7CA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0E1A5E7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215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98D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F02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5B0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1B2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14:paraId="68B7D86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BEE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FC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2EA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CE9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E1C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5C9141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426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E2F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F37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37F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741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359FF1C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F66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913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开展护林员管理工作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D0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006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1.指导乡镇（街道）开展选聘工作；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2.开展护林员培训工作；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3.统筹安排全县护林员工资发放事宜。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146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1.负责护林员的选聘工作；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2.及时更新完善护林员信息数据；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3.做好护林员工资上报及日常管理工作。</w:t>
            </w:r>
          </w:p>
        </w:tc>
      </w:tr>
      <w:tr w14:paraId="652CE74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855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7C9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2F1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916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6AC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2A3D9C5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580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8C6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77D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D90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1D8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0814A6B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C6D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4E0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F83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881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1D6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3D03562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CC28E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七、生态环保（6项）</w:t>
            </w:r>
          </w:p>
        </w:tc>
      </w:tr>
      <w:tr w14:paraId="3F568C9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6D5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24C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578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31C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DD3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                                                                                         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3324C30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133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999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C2D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BD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5B3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38343A6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DF7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76F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BC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ED4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5.县市场监管局会同本溪生态环境分局对锅炉生产、进口、销售和使用环节执行环境保护标准或者要求的情况进行监督检查。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4D3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0E497F7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D20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AED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749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1DA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A1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1.协助做好已建成的农村生活污水处理设施的运行维护，确保设施稳定运行；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2.协助开展入河排污口调查、规范整治等工作；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14:paraId="6059B2C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DF2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718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69F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366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86F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3661E5E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318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AAF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7BC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409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4.县住房城乡建设局负责饮用水水源保护区内的农村生活污水处理设施运行维护的监督管理；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5.县交通运输局负责在饮用水水源保护区内的县乡公路、省道、国道设置交通警示标志牌，在穿越饮用水水源保护区的交通道路建设减速装置、防撞护栏、事故导流槽、应急池，并加强管理；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874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2.开展饮用水水源二级保护区和准保护区的日常巡查，并做好记录，发现问题及时上报，并协助做好整治方案实施相关工作；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3.引导和督促村（居）民委员会结合当地实际，在村规民约（居民公约）中规定村（居）民保护饮用水水源的任务，落实保护措施。</w:t>
            </w:r>
          </w:p>
        </w:tc>
      </w:tr>
      <w:tr w14:paraId="6E49A191">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68E63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八、城乡建设（6项）</w:t>
            </w:r>
          </w:p>
        </w:tc>
      </w:tr>
      <w:tr w14:paraId="0C27FBC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28A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BC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928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380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1.负责农村公路新改建、维修改造工程；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2.负责“一事一议”工程的设计、招投标、施工管理工作；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3.建立完善农村公路应急预案，指导农村公路防灾及突发事件处置等工作；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4.负责对农村公路日常养护工作进行业务指导；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5.制定完善农村公路养护巡查、养护维修、安全生产、检查考评等相关制度并实施监督检查；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6.组织开展农村公路路政执法及路域环境整治。</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E31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3.开展爱路护路宣传，对村（居）民在路基、路肩、边坡种植农作物，摆摊设点和打谷晒场等行为及时劝阻；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6.配合做好农村公路沿线堆占清理、违法案件上报及路域环境整治工作；                                                        7.开展公路沿线高立柱广告牌普查、上报工作，对无法找到权属人的广告牌按要求开展维护和更新。</w:t>
            </w:r>
          </w:p>
        </w:tc>
      </w:tr>
      <w:tr w14:paraId="35809A3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840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45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BDD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39D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4C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5441BCE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53B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7A4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72E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E45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729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51F032A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639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A9C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AD4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82F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1.已投入使用但尚未划分物业管理区域的或者需要调整物业管理区域的，会同乡镇（街道）在征求相关业主意见后划分或者调整；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2.建立物业服务企业服务标准与质量考核和信用评价体系，定期组织考核，听取业主、业主委员会和村（居）民委员会的评价意见，并将考核结果向社会公布。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F38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2.指导社区组织业主委员会对物业管理和物业项目服务质量进行综合评价。</w:t>
            </w:r>
          </w:p>
        </w:tc>
      </w:tr>
      <w:tr w14:paraId="404A905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00C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D8A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A26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71E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1.县自然资源局负责在房地产项目验收时，出具规划核实确认书；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2.县住房城乡建设局负责对物业服务用房建筑面积、位置进行核查。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D00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1.在项目验收主管部门的通知、召集、组织下，参与项目验收中的社区办公用房、物业办公用房的确认和验收；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02D339A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8BB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558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A44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084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7.组织开展农村房屋安全隐患排查整治等工作；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8.组织填报农村危房改造信息系统。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E1A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2.按照反馈情况上报危房改造计划，对县级审核符合条件的改造对象进行审批；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14:paraId="037D23F1">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69FEC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5DA517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9AE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4D5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8AD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3A3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991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3A0541E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8A9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D5B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747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462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F20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200A048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F8F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0A9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F41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27D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025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1.保障镇文化站免费开放；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2.组织人员填报全国文化文物和旅游统计网上直报系统数据；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3.对下拨的体育运动器械进行日常巡查，发现问题及时上报。</w:t>
            </w:r>
          </w:p>
        </w:tc>
      </w:tr>
      <w:tr w14:paraId="6A332A1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BF8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6D2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27C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E39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4F0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14:paraId="2A995F2C">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46949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十、应急管理及消防（11项）</w:t>
            </w:r>
          </w:p>
        </w:tc>
      </w:tr>
      <w:tr w14:paraId="05096FD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B6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397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523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8CD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B5F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3.开展村（居）民宣传教育和舆论引导工作；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4.维护公共卫生事件应急期间社会稳定与秩序。</w:t>
            </w:r>
          </w:p>
        </w:tc>
      </w:tr>
      <w:tr w14:paraId="7B84DA3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C42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A6C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D71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00B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 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4.本溪市本溪生态环境分局负责灾区环境应急信息通报和应急预警工作；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6.县工业和信息化局负责配合上级部门做好无线电应急处置工作；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A4E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2.组建镇抢险救援力量，组织开展日常演练，做好人防、物防、技防等准备工作；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43FA0ED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3AC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D73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9A4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8D4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害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187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522C389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0A1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F9E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25F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B9A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E36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1.组织开展安全生产知识普及，按照镇综合应急预案组织开展演练；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7844705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A87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B29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997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3EA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39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46F2331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682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D0A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198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4C4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5A9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76828A7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FA4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C74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59C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AA4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DF9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14:paraId="04B00AC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C98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40B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B2E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03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B67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1.按照镇综合应急预案，开展消防演练；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7D234D8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D42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8E5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88D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E6F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EA0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4183046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70A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B73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62A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3DA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E18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1.根据消防安全专项整治方案要求，对涉及镇内容开展工作；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25AA17E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515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7A8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E97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63F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4B3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1369610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7C6D3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67AA319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E1F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8C7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482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824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C90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1.组织镇、村（社区）包保干部督导企业（高风险企业每年不少于两次、低风险企业每年不少于一次）；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4DA132B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7FE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0A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123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57F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B2D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1.督促村（社区）集体聚餐举办者、承办者做好举办登记，收集相关登记信息，报送所在辖区的市场监督管理所；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2.指导村（社区）及时发现村（社区）集体聚餐食品安全隐患，收集相关证明材料，报送所在辖区的市场监督管理所；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1FBBB78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E4A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11B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79D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9FF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负责监督食品摊贩日常经营活动，对日常排查的风险隐患、上报的问题进行核查处置。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B50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1.划定镇食品摊贩经营固定区域；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3.将食品摊贩登记备案信息通报县市场监管部门；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4.协助做好违规违法经营的食品摊贩问题信息上报工作。</w:t>
            </w:r>
          </w:p>
        </w:tc>
      </w:tr>
    </w:tbl>
    <w:p w14:paraId="3FED5899">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553"/>
      <w:bookmarkStart w:id="9" w:name="_Toc172077951"/>
      <w:bookmarkStart w:id="10" w:name="_Toc6632"/>
      <w:bookmarkStart w:id="11" w:name="_Toc172077418"/>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038A7835">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DCCA4">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89CDC">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93FAF">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6FA0346B">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6B5A1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一、经济发展（2项）</w:t>
            </w:r>
          </w:p>
        </w:tc>
      </w:tr>
      <w:tr w14:paraId="24DAADD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05D6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AE2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对有同一蚕场在一年内重复放养柞蚕、柞蚕食叶量超过规定标准、在移蚕时剪柞树主干枝等行为的单位和个人的处罚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CB7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业务技术指导，根据《辽宁省柞蚕场管理暂行办法》规定对同一蚕场在一年内重复放养柞蚕的、柞蚕食叶量超过规定标准的，在移蚕时剪柞树主干枝的、在限期内未进行补植的、在蚕场内刨柞树根、搂草、砍柴的等相关行为进行处罚。</w:t>
            </w:r>
          </w:p>
        </w:tc>
      </w:tr>
      <w:tr w14:paraId="5B93963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FD8B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566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598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农村集体经济组织的专项资金未专款专用，存在挪用、侵占、哄抢、私分和破坏集体资产的违规行为进行调查，按照审计决定认定的金额，责令退回资产，赔偿损失，没收非法所得，并按照审计决定认定的金额或造成损失的金额，对有关责任人处以相应罚款。</w:t>
            </w:r>
          </w:p>
        </w:tc>
      </w:tr>
      <w:tr w14:paraId="387C2277">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FFAEC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二、平安法治（1项）</w:t>
            </w:r>
          </w:p>
        </w:tc>
      </w:tr>
      <w:tr w14:paraId="465A74E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C5DD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90C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803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01B1509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C33DF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三、乡村振兴（8项）</w:t>
            </w:r>
          </w:p>
        </w:tc>
      </w:tr>
      <w:tr w14:paraId="4F8B6A4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8738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023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E5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3BEC823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4131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B1C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7EB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农机安全生产和隐患排查，负责对农业机械的登记、检验，检查农机作业安全。组织人员深入农机作业、存放等场所，常态化开展隐患排查整治。重点排查农机安全生产中的重大隐患，防止重大农机事故的发生。</w:t>
            </w:r>
          </w:p>
        </w:tc>
      </w:tr>
      <w:tr w14:paraId="7C6ECB8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B08D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DF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929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采用深埋法处理。采用深埋法的，要严格按照规范合理选址、规范操作，防止污染水源和环境。</w:t>
            </w:r>
          </w:p>
        </w:tc>
      </w:tr>
      <w:tr w14:paraId="34C6714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333A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7FD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4C9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外来入侵物种防控宣传教育与科学普及，引导公众依法参与外来入侵物种防控工作；会同有关部门建立外来入侵物种防控协调机制，组织开展本行政区域外来入侵物种防控工作，对农田、渔业水域、森林、草原、湿地等区域外来入侵物种进行监督管理。制定外来入侵物种名录，实行动态调整和分类管理，建立外来入侵物种数据库，制修订外来入侵物种风险评估、监测预警、防控治理等技术规范。</w:t>
            </w:r>
          </w:p>
        </w:tc>
      </w:tr>
      <w:tr w14:paraId="66AAE08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3121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1B7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9F9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工作方式：按照农业农村部建立的外来物种普查制度，开展具体普查工作。掌握县域内外来物种的种类数量、分布范围、危害程度等情况。</w:t>
            </w:r>
          </w:p>
        </w:tc>
      </w:tr>
      <w:tr w14:paraId="0145DEF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151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ECA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E05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工作方式：组织成立由临床、实验室等专业人员组成的动物疫病鉴定专家组，通过临床、流行病学、实验室检测等综合手段对上级授权疫病进行鉴定，形成检测报告。</w:t>
            </w:r>
          </w:p>
        </w:tc>
      </w:tr>
      <w:tr w14:paraId="5E70633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6BC1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CF9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A82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14:paraId="493B472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B900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D0C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7D8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肥料登记管理办法》对全县经营肥料的个体工商户进行监督检查，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14:paraId="52111B76">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453DA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四、社会管理（7项）</w:t>
            </w:r>
          </w:p>
        </w:tc>
      </w:tr>
      <w:tr w14:paraId="6A28B7A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73DD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137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48C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摸底排查，发动地名管理联席会议成员单位按照条例要求对不规范的“大、洋、怪、重”地名开展清理整治，发现不规范地名及时予以清理，研究制定整改意见建议，责令限期改正，分类逐项清理整治不规范地名；开展地名标准化处理工作，推动各领域规范使用标准地名。</w:t>
            </w:r>
          </w:p>
        </w:tc>
      </w:tr>
      <w:tr w14:paraId="667082E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2B19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E47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BD4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音形义位类等基本信息进行审核、复核、更新。通过国家地名信息库和区划地名子系统对地名信息登记数据开展动态核查更新，依托“乡村著名行动”采集上图小程序，对地名信息变更的发动乡镇</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val="en-US" w:eastAsia="zh-CN" w:bidi="ar"/>
              </w:rPr>
              <w:t>街道</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、村居及社会人士提交审核，多种方式开展地名信息数据核查。</w:t>
            </w:r>
          </w:p>
        </w:tc>
      </w:tr>
      <w:tr w14:paraId="46A014A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D8E2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BB5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F09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工作方式：组织确认违规领取行为，核对信息；收集违规领取人员信息；对核算的违规领取时间及金额进行确认；下发并送达追缴通知书；进行资金追缴。</w:t>
            </w:r>
          </w:p>
        </w:tc>
      </w:tr>
      <w:tr w14:paraId="09F8C0C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C77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87A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DBD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06A7AC6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4631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784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A37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14:paraId="3FA8CDF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E646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142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办理优抚对象审批时开具无城镇职工养老保险待遇证明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85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局、市社保中心本溪县分中心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局将申请人信息报至市社保中心本溪县分中心，市社保中心本溪县分中心确认申请人是否享受城镇职工养老保险及退休金，并将确认结果反馈给县退役军人</w:t>
            </w:r>
            <w:r>
              <w:rPr>
                <w:rFonts w:hint="eastAsia" w:ascii="Times New Roman" w:hAnsi="方正公文仿宋" w:eastAsia="方正公文仿宋"/>
                <w:kern w:val="0"/>
                <w:szCs w:val="21"/>
                <w:lang w:val="en-US" w:eastAsia="zh-CN" w:bidi="ar"/>
              </w:rPr>
              <w:t>事务</w:t>
            </w:r>
            <w:bookmarkStart w:id="12" w:name="_GoBack"/>
            <w:bookmarkEnd w:id="12"/>
            <w:r>
              <w:rPr>
                <w:rFonts w:hint="eastAsia" w:ascii="Times New Roman" w:hAnsi="方正公文仿宋" w:eastAsia="方正公文仿宋"/>
                <w:kern w:val="0"/>
                <w:szCs w:val="21"/>
                <w:lang w:bidi="ar"/>
              </w:rPr>
              <w:t>局。</w:t>
            </w:r>
          </w:p>
        </w:tc>
      </w:tr>
      <w:tr w14:paraId="6133186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AA70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67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FED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4B6FEFF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3F2E1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五、社会保障（3项）</w:t>
            </w:r>
          </w:p>
        </w:tc>
      </w:tr>
      <w:tr w14:paraId="60EFB04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5D7A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A47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954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工作方式：组织核查确认违规领取行为，收集违规领取人员信息，核算违规领取时间及金额，向违规领取人或其亲属下发并送达追缴通知书，并在15个工作日内完成违规领取津贴的资金追缴。</w:t>
            </w:r>
          </w:p>
        </w:tc>
      </w:tr>
      <w:tr w14:paraId="2283D4E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E4A1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5B6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77B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14:paraId="74C8DBD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E104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7DD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BF2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14:paraId="432FD7FD">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337AB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六、自然资源（7项）</w:t>
            </w:r>
          </w:p>
        </w:tc>
      </w:tr>
      <w:tr w14:paraId="75D4DDB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E454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262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14D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工作方式：核对省市下发的需治理图斑的具体情况及位置后，领取年度治理任务。按照指标文件与财政部门核对专项资金到位情况，经公开招标确定中标单位，监管施工方按设计方案施工。</w:t>
            </w:r>
          </w:p>
        </w:tc>
      </w:tr>
      <w:tr w14:paraId="43EB9DD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2B0A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450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2B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工作方式：对森林资源的保护、修复、利用、更新等进行监督检查，发现问题需要整改的，下达整改通知书并监督落实，适时组织回访复查；做好全面核实验收。</w:t>
            </w:r>
          </w:p>
        </w:tc>
      </w:tr>
      <w:tr w14:paraId="5BA50F4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8C7E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B58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61A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工作方式：统筹指导全县有林单位开展森林病虫害日常监测，承担检疫复检工作，对防治工作进行技术指导。加强产地检疫，从源头上控制林业有害生物的扩散蔓延；加强业务培训，对防治工作进行技术指导。</w:t>
            </w:r>
          </w:p>
        </w:tc>
      </w:tr>
      <w:tr w14:paraId="2081DD6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251A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7C7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D99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对储备土地按片区分工巡查，记录环境卫生状况。组织人员清理垃圾杂物、平整土地，整治乱堆物料等乱象。定期复查巩固整治成效，营造整洁有序的储备土地环境。</w:t>
            </w:r>
          </w:p>
        </w:tc>
      </w:tr>
      <w:tr w14:paraId="0A83C8E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FF34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F47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44B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县水务局依法依规对河道水面岸线范围内的非法采砂行为进行监管、查处。</w:t>
            </w:r>
          </w:p>
        </w:tc>
      </w:tr>
      <w:tr w14:paraId="7F92043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B2AD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CBE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22C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工作方式：承担征收土地的协调、指导和报批材料的审查、上报等工作；对具备供地条件的地块实施供地。根据《中华人民共和国土地管理法》履行土地征收征用管理职责，及时解决土地征收征用中存在的问题。</w:t>
            </w:r>
          </w:p>
        </w:tc>
      </w:tr>
      <w:tr w14:paraId="70334D9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FE2D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D49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E8D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拒不补种树木，或补种不符合国家规定的行为依法组织代为履行，代为履行所需费用由违法者承担，包括恢复施工、后期管护及设计、鉴定、评估等第三方服务费用。</w:t>
            </w:r>
          </w:p>
        </w:tc>
      </w:tr>
      <w:tr w14:paraId="631DA18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05CE3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七、生态环保（3项）</w:t>
            </w:r>
          </w:p>
        </w:tc>
      </w:tr>
      <w:tr w14:paraId="5867B0B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E8A0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DB1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6C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产生及从事收集、贮存、利用、处置危险废物经营活动的单位进行监督检查，对违反规定的责令改正，处以罚款，没收违法所得；情节严重的，报经有批准权的人民政府批准，可以责令停业或者关闭。</w:t>
            </w:r>
          </w:p>
        </w:tc>
      </w:tr>
      <w:tr w14:paraId="73AA9C3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4598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99A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督促新改、扩迁建项目及时做好环保手续报批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D8B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减少审批环节，不再开展此项工作。</w:t>
            </w:r>
          </w:p>
        </w:tc>
      </w:tr>
      <w:tr w14:paraId="234A70E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6C66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0C5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观音阁一级水源地监督巡查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64B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环境保护法》《中华人民共和国水污染防治法》《辽宁省水污染防治条例》《本溪市观音阁水库饮用水水源保护条例》等有关规定，通过专项行动、日常巡查，对观音阁水库饮用水水源地一级保护区进行监督巡查。</w:t>
            </w:r>
          </w:p>
        </w:tc>
      </w:tr>
      <w:tr w14:paraId="1927371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4FA10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八、城乡建设（13项）</w:t>
            </w:r>
          </w:p>
        </w:tc>
      </w:tr>
      <w:tr w14:paraId="40CC84F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B68E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F0D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836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四条，对在城市、镇规划区内未取得建设工程规划许可证或者未按照建设工程规划许可证的规定进行建设的，由县级城乡规划主管部门对违法当事人进行处罚，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tc>
      </w:tr>
      <w:tr w14:paraId="413DD1B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07CD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260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对建成小区内违章建设的处罚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D7C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承接部门：县自然资源局、县城市管理综合行政执法队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工作方式：县自然资源局根据《中华人民共和国城乡规划法》第六十四条，对县城建成区、乡镇政府所在地内未取得建设工程规划许可证或者未按照建设工程规划许可证的规定进行建设的进行处罚；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县城市管理综合行政执法队根据《本溪满族自治县县城市容和环境卫生管理条例》三十六条、三十七条，对县城建成区内未经城市人民政府市容环境卫生行政主管部门同意，擅自设置大型户外广告，影响市容的</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未经城市人民政府市容环境卫生行政主管部门批准，擅自在街道两侧和公共场地堆放物料，搭建建筑物、构筑物或者其他设施，影响市容的</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凡不符合城市容貌标准、环境卫生标准的建筑物或者设施的违法行为进行处罚。</w:t>
            </w:r>
          </w:p>
        </w:tc>
      </w:tr>
      <w:tr w14:paraId="547FF08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A48B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39F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564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工作方式：根据《中华人民共和国城乡规划法》第六十六条、六十八条，对建设单位或个人，未经批准或未按照批准内容进行临时建设，临时建筑物、构筑物超出批准权限不拆除的进行处罚。</w:t>
            </w:r>
          </w:p>
        </w:tc>
      </w:tr>
      <w:tr w14:paraId="0820DFC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B74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51A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C6C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承接部门：县级人民政府责成有关部门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有关规定，县自然资源局作出行政处罚决定后，由县级人民政府责成有关部门组织实施，对催告与公告的期限内仍未拆除，当事人不复议、不诉讼、诉讼已被驳回且不自行拆除的，进行依法强制拆除。</w:t>
            </w:r>
          </w:p>
        </w:tc>
      </w:tr>
      <w:tr w14:paraId="5A0D061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0531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895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355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14:paraId="417605C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C640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A7C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对违法占用土地（农用地、建设用地、未利用地）上的建筑物、构筑物和其他设施的拆除工作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6C9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第八十三条，责令限期拆除在非法占用的土地上新建的建筑物和其他设施的，建设单位或者个人必须立即停止施工，自行拆除；对继续施工的，作出处罚决定的机关有权制止。建设单位或者个人对责令限期拆除的行政处罚决定不服的，可以在接到责令限期拆除决定之日起十五日内，向人民法院起诉；期满不起诉又不自行拆除的，由作出处罚决定的机关依法申请人民法院强制执行，费用由违法者承担。根据人民法院的行政裁定结果，由县级人民政府组织实施，指定相关部门对违法建筑进行拆除。</w:t>
            </w:r>
          </w:p>
        </w:tc>
      </w:tr>
      <w:tr w14:paraId="586BB42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FE2B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41C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FF9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工作方式：按照相关房屋安全评估要求，根据集中摸排情况，协助第三方鉴定机构，及时对疑似危房的房屋进行鉴定。</w:t>
            </w:r>
          </w:p>
        </w:tc>
      </w:tr>
      <w:tr w14:paraId="6972C58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D442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A5C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838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工作方式：组织对农村住房进行排查，对初步判定可能存在安全隐患的房屋，组织具备鉴定资质的第三方鉴定机构对其进行危房鉴定，根据鉴定结果进行房屋改造。</w:t>
            </w:r>
          </w:p>
        </w:tc>
      </w:tr>
      <w:tr w14:paraId="011BB68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1C88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47B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FA1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工作方式：组织对自建房进行排查，对初步判定可能存在安全隐患的房屋，组织具备鉴定资质的第三方鉴定机构对其进行等级鉴定。</w:t>
            </w:r>
          </w:p>
        </w:tc>
      </w:tr>
      <w:tr w14:paraId="201F0A4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69AE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F70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C92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工作方式：县农业农村局负责统筹土壤普查工作，编制工作方案，开展三普外业调查采样培训和宣传工作，做好三普样点校核、外业调查采样、内业测试化验、数据审核上报等工作；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本溪市本溪生态环境分局负责土壤污染的统一监督管理，组织开展农用地土壤重金属污染溯源和整治工作。</w:t>
            </w:r>
          </w:p>
        </w:tc>
      </w:tr>
      <w:tr w14:paraId="17DB1A6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F97E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229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F5C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14:paraId="2F56D80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C9A6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E8C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2C2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保护乡道、村道的需要，在乡道、村道的出入口设置必要的限高、限宽设施，明确不得影响消防和卫生急救等应急通行需要，不得向通行车辆收费。作为依申请行政许可事项，由县交通运输综合行政执法队负责审批。</w:t>
            </w:r>
          </w:p>
        </w:tc>
      </w:tr>
      <w:tr w14:paraId="10B84C6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9242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76D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694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11333886">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70FC1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420964C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3117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AF0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参与对A级景区和旅游度假区、星级酒店、网吧、歌舞厅、KTV、书店、图书馆、影院、文博、体育场馆等场所违规违法行为的联合执法</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B12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牵头组织相关部门对A级景区和旅游度假区、星级酒店、网吧、歌舞厅、KTV、书店、图书馆、影院、文博、体育场馆等场所违规违法行为进行联合执法。发现违规违法行为，依情节处置并跟踪整改。通过搭建沟通平台、宣传成果、总结经验，保障执法效能提升。</w:t>
            </w:r>
          </w:p>
        </w:tc>
      </w:tr>
      <w:tr w14:paraId="029290C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853C3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十、卫生健康（8项）</w:t>
            </w:r>
          </w:p>
        </w:tc>
      </w:tr>
      <w:tr w14:paraId="291D63B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6F8D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FF5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14D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工作方式：登录托育机构备案信息系统，对登记后的托育机构在线填写托育点备案书、备案承诺书并提交相关材料；对备案的托育机构进行宣传和监督管理。</w:t>
            </w:r>
          </w:p>
        </w:tc>
      </w:tr>
      <w:tr w14:paraId="209353E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7A7A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B52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501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14:paraId="47FAB34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DBC8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D6F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098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14:paraId="57934F1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1544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E8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112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工作方式：由县妇幼保健中心采购、统筹、发放，或者通过自动免费药具发放机发放。</w:t>
            </w:r>
          </w:p>
        </w:tc>
      </w:tr>
      <w:tr w14:paraId="70AC8D8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ECED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0FD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FDC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工作方式：根据省、市计划生育协会相关文件要求，明确主题与形式，结合本地实际，通过悬挂条幅、解答群众咨询等方式，组织开展宣传服务活动。活动后整理资料、总结经验并做好宣传推广。</w:t>
            </w:r>
          </w:p>
        </w:tc>
      </w:tr>
      <w:tr w14:paraId="3650BCC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E6AB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89A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015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74252D8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3496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E52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9BE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20064A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8B22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B48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1B5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6742FB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EA1A1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十一、应急管理及消防（12项）</w:t>
            </w:r>
          </w:p>
        </w:tc>
      </w:tr>
      <w:tr w14:paraId="0707F52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2CCB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7C4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CF6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2F16767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D1C4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651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B60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14:paraId="4B50116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1177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B3A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D61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辽宁省安全生产条例》等法律法规，对加油站规章制度、安全操作规程、安全生产资格证、设备设施等进行执法检查，向被检查企业和人员了解情况，查阅企业有关文件、资料，发现隐患和问题，责令企业立即或限期整改。</w:t>
            </w:r>
          </w:p>
        </w:tc>
      </w:tr>
      <w:tr w14:paraId="16D5765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904F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8CC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烟花爆竹经营（批发）许可证申请单位现场核查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60F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工作方式：配合市应急局对烟花爆竹经营（批发）许可证开展核查工作，对核查中发现的隐患问题要求及时整改。</w:t>
            </w:r>
          </w:p>
        </w:tc>
      </w:tr>
      <w:tr w14:paraId="1CD889C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3287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A72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烟花爆竹经营（零售）许可证换证现场核查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DFB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工作方式：受理核查烟花爆竹经营（零售）许可证申请，核查许可证申请材料，对烟花爆竹经营（零售）许可证进行现场审查并提出意见，在法定期限内按照规定程序作出行政许可决定。</w:t>
            </w:r>
          </w:p>
        </w:tc>
      </w:tr>
      <w:tr w14:paraId="3E3CE86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EC0D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F41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71D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6405CA9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8854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418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C2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6D66B38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3039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6B1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BC8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工作方式：根据《中华人民共和国安全生产法》《工贸企业有限空间作业安全规定》等法律法规，对企业进行监督检查，发现隐患和问题，及时责令单位进行整改。</w:t>
            </w:r>
          </w:p>
        </w:tc>
      </w:tr>
      <w:tr w14:paraId="6259DCD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2DD4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068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0E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尾矿库安全管理规定》（中华人民共和国国家经济贸易委员会令第20号）、《尾矿库安全监督管理规定》（国家安全生产监督管理总局令第38号）等法律法规，对矿山安全进行监督指导，检查安全状况、作业场所、生产设备、职工安全教育、培训工作等情况。监督企业履行法定职责，加强安全生产标准化、安全预防控制体系建设等工作。</w:t>
            </w:r>
          </w:p>
        </w:tc>
      </w:tr>
      <w:tr w14:paraId="4154C68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02FC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71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C0E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非煤矿山外包工程安全管理暂行办法》《辽宁省建设项目安全设施监督管理办法》等法律法规，依法对企业和外包施工单位进行监督检查，发现隐患和问题，依据技术规范与标准，及时责令单位进行整改，并依法依规处理。</w:t>
            </w:r>
          </w:p>
        </w:tc>
      </w:tr>
      <w:tr w14:paraId="13F51A4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E47C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700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对小型露天采石场安全生产情况、事故隐患排查情况的监督检查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F86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工作方式：根据《中华人民共和国安全生产法》《中华人民共和国矿山安全法》，按照年度安全生产监督管理计划，依法对小型露天采石场安全生产情况、事故隐患排查情况进行监督检查。</w:t>
            </w:r>
          </w:p>
        </w:tc>
      </w:tr>
      <w:tr w14:paraId="3C6F97A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A4CC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8BE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小型水库安全监督和防汛监督管理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292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工作方式：对小型水库挡水、输水、泄水设施安全运行及隐患排查进行监督检查，对小型水库汛期放水设施、水库水位、库管员报汛等防汛工作进行监督检查。</w:t>
            </w:r>
          </w:p>
        </w:tc>
      </w:tr>
      <w:tr w14:paraId="2AFCC8AB">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C5360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十二、市场监管（3项）</w:t>
            </w:r>
          </w:p>
        </w:tc>
      </w:tr>
      <w:tr w14:paraId="69707AE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CD91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8DA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EDC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25B037C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6468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83F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918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FE0F68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DC4F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F8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444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14:paraId="73AA0AD8">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公文仿宋">
    <w:altName w:val="仿宋"/>
    <w:panose1 w:val="02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公文小标宋">
    <w:altName w:val="宋体"/>
    <w:panose1 w:val="02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公文黑体">
    <w:altName w:val="黑体"/>
    <w:panose1 w:val="02000000000000000000"/>
    <w:charset w:val="86"/>
    <w:family w:val="auto"/>
    <w:pitch w:val="default"/>
    <w:sig w:usb0="00000000" w:usb1="00000000" w:usb2="0000001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972EA">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3B9DB95D">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3B9DB95D">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E6827">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mNTAxYTA0NTllZTU0OWY5NWY0MWNlMzBjNGU2OTYifQ=="/>
  </w:docVars>
  <w:rsids>
    <w:rsidRoot w:val="00997B94"/>
    <w:rsid w:val="000047C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83325"/>
    <w:rsid w:val="002B1C9B"/>
    <w:rsid w:val="002C7D57"/>
    <w:rsid w:val="00323128"/>
    <w:rsid w:val="00332498"/>
    <w:rsid w:val="00384253"/>
    <w:rsid w:val="003A2345"/>
    <w:rsid w:val="003A4EAB"/>
    <w:rsid w:val="003A67C0"/>
    <w:rsid w:val="003B25EE"/>
    <w:rsid w:val="003B6491"/>
    <w:rsid w:val="0042770C"/>
    <w:rsid w:val="00436A05"/>
    <w:rsid w:val="0044787B"/>
    <w:rsid w:val="0045146E"/>
    <w:rsid w:val="00454E9C"/>
    <w:rsid w:val="00496286"/>
    <w:rsid w:val="004C1612"/>
    <w:rsid w:val="004C3B4B"/>
    <w:rsid w:val="00556418"/>
    <w:rsid w:val="0055782E"/>
    <w:rsid w:val="005D0A45"/>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7C3F5A"/>
    <w:rsid w:val="0080494D"/>
    <w:rsid w:val="00821188"/>
    <w:rsid w:val="00846E5D"/>
    <w:rsid w:val="008C6462"/>
    <w:rsid w:val="008D168C"/>
    <w:rsid w:val="00944BE5"/>
    <w:rsid w:val="0097500B"/>
    <w:rsid w:val="0099530A"/>
    <w:rsid w:val="00997B94"/>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2EE5"/>
    <w:rsid w:val="00B7677F"/>
    <w:rsid w:val="00BD3ECB"/>
    <w:rsid w:val="00BE017C"/>
    <w:rsid w:val="00C00BFB"/>
    <w:rsid w:val="00C36F45"/>
    <w:rsid w:val="00C45044"/>
    <w:rsid w:val="00C745D6"/>
    <w:rsid w:val="00CA06A0"/>
    <w:rsid w:val="00CC0F16"/>
    <w:rsid w:val="00CC273C"/>
    <w:rsid w:val="00CD06DB"/>
    <w:rsid w:val="00CF3786"/>
    <w:rsid w:val="00D04434"/>
    <w:rsid w:val="00D071D3"/>
    <w:rsid w:val="00D23A49"/>
    <w:rsid w:val="00DA62D8"/>
    <w:rsid w:val="00DA70AC"/>
    <w:rsid w:val="00DE5D96"/>
    <w:rsid w:val="00E04FAF"/>
    <w:rsid w:val="00E22E8D"/>
    <w:rsid w:val="00E30699"/>
    <w:rsid w:val="00E34FB1"/>
    <w:rsid w:val="00E37CBB"/>
    <w:rsid w:val="00E56BCC"/>
    <w:rsid w:val="00EC1565"/>
    <w:rsid w:val="00F24092"/>
    <w:rsid w:val="00F37E44"/>
    <w:rsid w:val="00F417B3"/>
    <w:rsid w:val="00FA2D9F"/>
    <w:rsid w:val="00FA6C61"/>
    <w:rsid w:val="00FC2FBD"/>
    <w:rsid w:val="00FD6B5A"/>
    <w:rsid w:val="414159B6"/>
    <w:rsid w:val="455B5988"/>
    <w:rsid w:val="4B476594"/>
    <w:rsid w:val="4BFB5170"/>
    <w:rsid w:val="4EB613DF"/>
    <w:rsid w:val="60F84F5B"/>
    <w:rsid w:val="7B453F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 w:type="paragraph" w:customStyle="1" w:styleId="21">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dr="http://schemas.openxmlformats.org/drawingml/2006/chartDrawing" xmlns:c="http://schemas.openxmlformats.org/drawingml/2006/chart"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E3DF48-7483-4CD5-BB24-970728891761}">
  <ds:schemaRefs/>
</ds:datastoreItem>
</file>

<file path=docProps/app.xml><?xml version="1.0" encoding="utf-8"?>
<Properties xmlns="http://schemas.openxmlformats.org/officeDocument/2006/extended-properties" xmlns:vt="http://schemas.openxmlformats.org/officeDocument/2006/docPropsVTypes">
  <Template>Normal.dotm</Template>
  <Pages>58</Pages>
  <Words>79</Words>
  <Characters>82</Characters>
  <Lines>1</Lines>
  <Paragraphs>1</Paragraphs>
  <TotalTime>0</TotalTime>
  <ScaleCrop>false</ScaleCrop>
  <LinksUpToDate>false</LinksUpToDate>
  <CharactersWithSpaces>85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Administrator</cp:lastModifiedBy>
  <dcterms:modified xsi:type="dcterms:W3CDTF">2025-08-18T12:04:02Z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2DA9368C1D8246178C3B176960305FE0</vt:lpwstr>
  </property>
  <property fmtid="{D5CDD505-2E9C-101B-9397-08002B2CF9AE}" pid="4" name="KSOTemplateDocerSaveRecord">
    <vt:lpwstr>eyJoZGlkIjoiOTc2Njc2NWMyZGE4YWNiMzAxZjBkODNjYTI0Nzk3ODYifQ==</vt:lpwstr>
  </property>
</Properties>
</file>