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6B463">
      <w:pPr>
        <w:pStyle w:val="4"/>
        <w:shd w:val="clear" w:color="auto" w:fill="FFFFFF"/>
        <w:spacing w:before="0" w:beforeAutospacing="0" w:after="0" w:afterAutospacing="0" w:line="475" w:lineRule="atLeast"/>
        <w:jc w:val="center"/>
        <w:rPr>
          <w:rFonts w:ascii="方正小标宋简体" w:hAnsi="仿宋" w:eastAsia="方正小标宋简体" w:cs="Times New Roman"/>
          <w:color w:val="333333"/>
          <w:sz w:val="44"/>
          <w:szCs w:val="44"/>
        </w:rPr>
      </w:pPr>
      <w:r>
        <w:rPr>
          <w:rFonts w:hint="eastAsia" w:ascii="方正小标宋简体" w:hAnsi="微软雅黑" w:eastAsia="方正小标宋简体"/>
          <w:b/>
          <w:bCs/>
          <w:color w:val="666666"/>
          <w:sz w:val="44"/>
          <w:szCs w:val="44"/>
          <w:shd w:val="clear" w:color="auto" w:fill="FFFFFF"/>
        </w:rPr>
        <w:t>2018年度政府信息公开工作报告</w:t>
      </w:r>
    </w:p>
    <w:p w14:paraId="426D744D">
      <w:pPr>
        <w:pStyle w:val="4"/>
        <w:shd w:val="clear" w:color="auto" w:fill="FFFFFF"/>
        <w:spacing w:before="0" w:beforeAutospacing="0" w:after="0" w:afterAutospacing="0" w:line="475" w:lineRule="atLeast"/>
        <w:jc w:val="center"/>
        <w:rPr>
          <w:rFonts w:ascii="方正小标宋简体" w:hAnsi="微软雅黑" w:eastAsia="方正小标宋简体"/>
          <w:b/>
          <w:bCs/>
          <w:color w:val="666666"/>
          <w:sz w:val="36"/>
          <w:szCs w:val="36"/>
          <w:shd w:val="clear" w:color="auto" w:fill="FFFFFF"/>
        </w:rPr>
      </w:pPr>
      <w:r>
        <w:rPr>
          <w:rFonts w:hint="eastAsia" w:ascii="方正小标宋简体" w:hAnsi="微软雅黑" w:eastAsia="方正小标宋简体"/>
          <w:b/>
          <w:bCs/>
          <w:color w:val="666666"/>
          <w:sz w:val="36"/>
          <w:szCs w:val="36"/>
          <w:shd w:val="clear" w:color="auto" w:fill="FFFFFF"/>
        </w:rPr>
        <w:t>本溪县人力资源和社会保障局</w:t>
      </w:r>
    </w:p>
    <w:p w14:paraId="67C3C70D">
      <w:pPr>
        <w:pStyle w:val="4"/>
        <w:shd w:val="clear" w:color="auto" w:fill="FFFFFF"/>
        <w:spacing w:before="0" w:beforeAutospacing="0" w:after="272" w:afterAutospacing="0" w:line="380" w:lineRule="atLeast"/>
        <w:ind w:firstLine="480"/>
        <w:rPr>
          <w:rFonts w:ascii="仿宋" w:hAnsi="仿宋" w:eastAsia="仿宋" w:cs="Times New Roman"/>
          <w:color w:val="333333"/>
          <w:sz w:val="32"/>
          <w:szCs w:val="32"/>
        </w:rPr>
      </w:pPr>
      <w:r>
        <w:rPr>
          <w:rFonts w:hint="eastAsia" w:ascii="仿宋" w:hAnsi="仿宋" w:eastAsia="仿宋" w:cs="Times New Roman"/>
          <w:color w:val="333333"/>
          <w:sz w:val="32"/>
          <w:szCs w:val="32"/>
        </w:rPr>
        <w:t>2018年度，人力资源和社会保障局按照《本溪县人民政府办公室关于贯彻落实国务院办公厅〈2018年政务公开工作要点〉的工作安排》，结合本单位实际情况，突出抓好重点领域信息公开。现将人力资源和社会保障局2018年政府信息公开工作年度报告如下：</w:t>
      </w:r>
    </w:p>
    <w:p w14:paraId="66EDC3FC">
      <w:pPr>
        <w:pStyle w:val="4"/>
        <w:shd w:val="clear" w:color="auto" w:fill="FFFFFF"/>
        <w:spacing w:before="0" w:beforeAutospacing="0" w:after="0" w:afterAutospacing="0" w:line="475" w:lineRule="atLeast"/>
        <w:ind w:firstLine="640"/>
        <w:jc w:val="both"/>
        <w:rPr>
          <w:rFonts w:ascii="Times New Roman" w:hAnsi="Times New Roman" w:cs="Times New Roman"/>
          <w:color w:val="333333"/>
          <w:sz w:val="21"/>
          <w:szCs w:val="21"/>
        </w:rPr>
      </w:pPr>
      <w:r>
        <w:rPr>
          <w:rFonts w:hint="eastAsia" w:ascii="黑体" w:hAnsi="黑体" w:eastAsia="黑体" w:cs="Times New Roman"/>
          <w:color w:val="333333"/>
          <w:sz w:val="32"/>
          <w:szCs w:val="32"/>
        </w:rPr>
        <w:t>一、工作概述</w:t>
      </w:r>
    </w:p>
    <w:p w14:paraId="49E612B6">
      <w:pPr>
        <w:pStyle w:val="4"/>
        <w:shd w:val="clear" w:color="auto" w:fill="FFFFFF"/>
        <w:spacing w:before="0" w:beforeAutospacing="0" w:after="0" w:afterAutospacing="0" w:line="475" w:lineRule="atLeast"/>
        <w:ind w:firstLine="640"/>
        <w:jc w:val="both"/>
        <w:rPr>
          <w:rFonts w:ascii="仿宋" w:hAnsi="仿宋" w:eastAsia="仿宋" w:cs="Times New Roman"/>
          <w:color w:val="333333"/>
          <w:sz w:val="32"/>
          <w:szCs w:val="32"/>
        </w:rPr>
      </w:pPr>
      <w:r>
        <w:rPr>
          <w:rFonts w:hint="eastAsia" w:ascii="仿宋" w:hAnsi="仿宋" w:eastAsia="仿宋" w:cs="Times New Roman"/>
          <w:color w:val="333333"/>
          <w:sz w:val="32"/>
          <w:szCs w:val="32"/>
        </w:rPr>
        <w:t>2018年，县人力资源和社会保障局认真贯彻落实《条例》和《本溪县人民政府办公室关于贯彻落实国务院办公厅〈2018年政务公开工作要点〉的工作安排》分管领导直接负责，指导、协调、监督政府信息公开工作情况。2018年我局围绕人社工作的重点、热点、难点问题和群众关切，坚持统筹兼顾、突出重点，坚持以公开为常态、不公开为例外，坚持正确、准确、及时，大力推进决策、执行、管理、服务、结果公开，按照“属地管理、分级负责、谁主管、谁负责”的原则，较好的完成信息公开工作。</w:t>
      </w:r>
    </w:p>
    <w:p w14:paraId="5CDBC602">
      <w:pPr>
        <w:pStyle w:val="4"/>
        <w:shd w:val="clear" w:color="auto" w:fill="FFFFFF"/>
        <w:spacing w:before="0" w:beforeAutospacing="0" w:after="0" w:afterAutospacing="0" w:line="475" w:lineRule="atLeast"/>
        <w:ind w:firstLine="480"/>
        <w:jc w:val="both"/>
        <w:rPr>
          <w:rFonts w:ascii="Times New Roman" w:hAnsi="Times New Roman" w:cs="Times New Roman"/>
          <w:color w:val="333333"/>
          <w:sz w:val="21"/>
          <w:szCs w:val="21"/>
        </w:rPr>
      </w:pPr>
      <w:r>
        <w:rPr>
          <w:rFonts w:hint="eastAsia" w:ascii="楷体" w:hAnsi="楷体" w:eastAsia="楷体" w:cs="Times New Roman"/>
          <w:color w:val="333333"/>
          <w:sz w:val="32"/>
          <w:szCs w:val="32"/>
        </w:rPr>
        <w:t>（一）加强领导，健全工作制度。</w:t>
      </w:r>
      <w:r>
        <w:rPr>
          <w:rFonts w:hint="eastAsia" w:ascii="仿宋" w:hAnsi="仿宋" w:eastAsia="仿宋" w:cs="Times New Roman"/>
          <w:color w:val="333333"/>
          <w:sz w:val="32"/>
          <w:szCs w:val="32"/>
        </w:rPr>
        <w:t>人力资源社会保障工作政策性强、涉及面广，事关职工群众的切身利益。社会各界对人力资源社会保障工作的关注度越来越高，要求及时公开相关政策法规、行政审批、办事指南等政务信息的呼声显得尤为迫切。为确保政务公开工作扎实推进，县人社局强化联络员制度，由局机关综合办公室指派专人负责政府信息公开工作，及时上报信息公开项目和内容，建立常态化工作机制。强化信息发布制度，所有信息发布由局办公室分管领导审核，并建立信息发布协调制度,确保安全性与准确性。</w:t>
      </w:r>
    </w:p>
    <w:p w14:paraId="5C2CE6A5">
      <w:pPr>
        <w:pStyle w:val="4"/>
        <w:shd w:val="clear" w:color="auto" w:fill="FFFFFF"/>
        <w:spacing w:before="0" w:beforeAutospacing="0" w:after="0" w:afterAutospacing="0" w:line="475" w:lineRule="atLeast"/>
        <w:ind w:firstLine="480" w:firstLineChars="150"/>
        <w:jc w:val="both"/>
        <w:rPr>
          <w:rFonts w:ascii="仿宋" w:hAnsi="仿宋" w:eastAsia="仿宋" w:cs="Times New Roman"/>
          <w:color w:val="333333"/>
          <w:sz w:val="32"/>
          <w:szCs w:val="32"/>
        </w:rPr>
      </w:pPr>
      <w:r>
        <w:rPr>
          <w:rFonts w:hint="eastAsia" w:ascii="楷体" w:hAnsi="楷体" w:eastAsia="楷体" w:cs="Times New Roman"/>
          <w:color w:val="333333"/>
          <w:sz w:val="32"/>
          <w:szCs w:val="32"/>
        </w:rPr>
        <w:t>(二）整合资源，不断提高平台建设。</w:t>
      </w:r>
      <w:r>
        <w:rPr>
          <w:rFonts w:hint="eastAsia" w:ascii="仿宋" w:hAnsi="仿宋" w:eastAsia="仿宋" w:cs="Times New Roman"/>
          <w:color w:val="333333"/>
          <w:sz w:val="32"/>
          <w:szCs w:val="32"/>
        </w:rPr>
        <w:t>加强政务公开公示，在窗口单位实行“五制四公开三亮明”制度，做到办事程序公开、办事依据公开、办事时限公开、办事结果公开。</w:t>
      </w:r>
    </w:p>
    <w:p w14:paraId="3993BE19">
      <w:pPr>
        <w:pStyle w:val="4"/>
        <w:shd w:val="clear" w:color="auto" w:fill="FFFFFF"/>
        <w:spacing w:before="0" w:beforeAutospacing="0" w:after="0" w:afterAutospacing="0" w:line="475" w:lineRule="atLeast"/>
        <w:ind w:firstLine="480" w:firstLineChars="150"/>
        <w:jc w:val="both"/>
        <w:rPr>
          <w:rFonts w:ascii="楷体" w:hAnsi="楷体" w:eastAsia="楷体" w:cs="Times New Roman"/>
          <w:color w:val="333333"/>
          <w:sz w:val="32"/>
          <w:szCs w:val="32"/>
        </w:rPr>
      </w:pPr>
      <w:r>
        <w:rPr>
          <w:rFonts w:hint="eastAsia" w:ascii="楷体" w:hAnsi="楷体" w:eastAsia="楷体" w:cs="Times New Roman"/>
          <w:color w:val="333333"/>
          <w:sz w:val="32"/>
          <w:szCs w:val="32"/>
        </w:rPr>
        <w:t>（三）突出重点，推进重点领域信息公开。</w:t>
      </w:r>
      <w:r>
        <w:rPr>
          <w:rFonts w:hint="eastAsia" w:ascii="仿宋" w:hAnsi="仿宋" w:eastAsia="仿宋" w:cs="Times New Roman"/>
          <w:color w:val="333333"/>
          <w:sz w:val="32"/>
          <w:szCs w:val="32"/>
        </w:rPr>
        <w:t>认真做好重点领域信息公开，以围绕就业创业、养老、医疗、工伤、生育、失业等各项保险政策的贯彻实施出台的规范性文件，以各项保险办理程序、所需材料等所有涉及广大人民群众切身利益的事项作为政务公开的重点，保证了公开公平公正。对事业单位工作人员的考录，从发布信息、报名、审核、笔试、面试、体检、考察等每一个环节都在政府网站上公开公示，提供举报电话，接受广大群众监督。通过县电视台、县人力资源服务中心公众号及时发布就业创业信息，为全县广大劳动者免费提供招聘、求职、培训、创业扶持、政策咨询等公共就业服务。同时加大公开力度，及时公示“四张清单”、“三公</w:t>
      </w:r>
      <w:bookmarkStart w:id="0" w:name="_GoBack"/>
      <w:r>
        <w:rPr>
          <w:rFonts w:hint="eastAsia" w:ascii="仿宋" w:hAnsi="仿宋" w:eastAsia="仿宋" w:cs="Times New Roman"/>
          <w:color w:val="333333"/>
          <w:sz w:val="32"/>
          <w:szCs w:val="32"/>
        </w:rPr>
        <w:t>”</w:t>
      </w:r>
      <w:bookmarkEnd w:id="0"/>
      <w:r>
        <w:rPr>
          <w:rFonts w:hint="eastAsia" w:ascii="仿宋" w:hAnsi="仿宋" w:eastAsia="仿宋" w:cs="Times New Roman"/>
          <w:color w:val="333333"/>
          <w:sz w:val="32"/>
          <w:szCs w:val="32"/>
        </w:rPr>
        <w:t>经费、为民办实事等内容，提升政府公信力。</w:t>
      </w:r>
    </w:p>
    <w:p w14:paraId="47733208">
      <w:pPr>
        <w:pStyle w:val="4"/>
        <w:shd w:val="clear" w:color="auto" w:fill="FFFFFF"/>
        <w:spacing w:before="0" w:beforeAutospacing="0" w:after="0" w:afterAutospacing="0" w:line="475" w:lineRule="atLeast"/>
        <w:ind w:firstLine="640"/>
        <w:jc w:val="both"/>
        <w:rPr>
          <w:rFonts w:ascii="Times New Roman" w:hAnsi="Times New Roman" w:cs="Times New Roman"/>
          <w:color w:val="333333"/>
          <w:sz w:val="21"/>
          <w:szCs w:val="21"/>
        </w:rPr>
      </w:pPr>
      <w:r>
        <w:rPr>
          <w:rFonts w:hint="eastAsia" w:ascii="黑体" w:hAnsi="黑体" w:eastAsia="黑体" w:cs="Times New Roman"/>
          <w:color w:val="333333"/>
          <w:sz w:val="32"/>
          <w:szCs w:val="32"/>
        </w:rPr>
        <w:t>二、主动公开政府信息情况</w:t>
      </w:r>
    </w:p>
    <w:p w14:paraId="4F8108DB">
      <w:pPr>
        <w:pStyle w:val="4"/>
        <w:shd w:val="clear" w:color="auto" w:fill="FFFFFF"/>
        <w:spacing w:before="0" w:beforeAutospacing="0" w:after="0" w:afterAutospacing="0" w:line="475" w:lineRule="atLeast"/>
        <w:ind w:firstLine="480"/>
        <w:jc w:val="both"/>
        <w:rPr>
          <w:rFonts w:ascii="Times New Roman" w:hAnsi="Times New Roman" w:cs="Times New Roman"/>
          <w:color w:val="333333"/>
          <w:sz w:val="21"/>
          <w:szCs w:val="21"/>
        </w:rPr>
      </w:pPr>
      <w:r>
        <w:rPr>
          <w:rFonts w:hint="eastAsia" w:ascii="楷体" w:hAnsi="楷体" w:eastAsia="楷体" w:cs="Times New Roman"/>
          <w:color w:val="333333"/>
          <w:sz w:val="32"/>
          <w:szCs w:val="32"/>
        </w:rPr>
        <w:t>（一）公开的主要内容</w:t>
      </w:r>
    </w:p>
    <w:p w14:paraId="7C2A5792">
      <w:pPr>
        <w:pStyle w:val="4"/>
        <w:shd w:val="clear" w:color="auto" w:fill="FFFFFF"/>
        <w:spacing w:before="0" w:beforeAutospacing="0" w:after="0" w:afterAutospacing="0" w:line="475" w:lineRule="atLeast"/>
        <w:ind w:firstLine="640"/>
        <w:jc w:val="both"/>
        <w:rPr>
          <w:rFonts w:ascii="仿宋" w:hAnsi="仿宋" w:eastAsia="仿宋" w:cs="Times New Roman"/>
          <w:color w:val="333333"/>
          <w:sz w:val="32"/>
          <w:szCs w:val="32"/>
        </w:rPr>
      </w:pPr>
      <w:r>
        <w:rPr>
          <w:rFonts w:hint="eastAsia" w:ascii="仿宋" w:hAnsi="仿宋" w:eastAsia="仿宋" w:cs="Times New Roman"/>
          <w:color w:val="333333"/>
          <w:sz w:val="32"/>
          <w:szCs w:val="32"/>
        </w:rPr>
        <w:t>2018年，新增主动公开政府信息4条。其中</w:t>
      </w:r>
      <w:r>
        <w:fldChar w:fldCharType="begin"/>
      </w:r>
      <w:r>
        <w:instrText xml:space="preserve"> HYPERLINK "http://www.bx.gov.cn/benxixian/Government/PublicInformation/PublicInformationView.aspx?PublicInformationID=2307" \o "文件编号：
索 引 号：B-bmrsj--shbxxx-2018-0107
关 键 字：" </w:instrText>
      </w:r>
      <w:r>
        <w:fldChar w:fldCharType="separate"/>
      </w:r>
      <w:r>
        <w:rPr>
          <w:rFonts w:hint="eastAsia" w:ascii="仿宋" w:hAnsi="仿宋" w:eastAsia="仿宋" w:cs="Times New Roman"/>
          <w:color w:val="333333"/>
          <w:sz w:val="32"/>
          <w:szCs w:val="32"/>
        </w:rPr>
        <w:t>失业保险工作情况</w:t>
      </w:r>
      <w:r>
        <w:rPr>
          <w:rFonts w:hint="eastAsia" w:ascii="仿宋" w:hAnsi="仿宋" w:eastAsia="仿宋" w:cs="Times New Roman"/>
          <w:color w:val="333333"/>
          <w:sz w:val="32"/>
          <w:szCs w:val="32"/>
        </w:rPr>
        <w:fldChar w:fldCharType="end"/>
      </w:r>
      <w:r>
        <w:rPr>
          <w:rFonts w:hint="eastAsia" w:ascii="仿宋" w:hAnsi="仿宋" w:eastAsia="仿宋" w:cs="Times New Roman"/>
          <w:color w:val="333333"/>
          <w:sz w:val="32"/>
          <w:szCs w:val="32"/>
        </w:rPr>
        <w:t>1</w:t>
      </w:r>
      <w:r>
        <w:rPr>
          <w:rFonts w:ascii="仿宋" w:hAnsi="仿宋" w:eastAsia="仿宋" w:cs="Times New Roman"/>
          <w:color w:val="333333"/>
          <w:sz w:val="32"/>
          <w:szCs w:val="32"/>
        </w:rPr>
        <w:t>条</w:t>
      </w:r>
      <w:r>
        <w:rPr>
          <w:rFonts w:hint="eastAsia" w:ascii="仿宋" w:hAnsi="仿宋" w:eastAsia="仿宋" w:cs="Times New Roman"/>
          <w:color w:val="333333"/>
          <w:sz w:val="32"/>
          <w:szCs w:val="32"/>
        </w:rPr>
        <w:t>，</w:t>
      </w:r>
      <w:r>
        <w:fldChar w:fldCharType="begin"/>
      </w:r>
      <w:r>
        <w:instrText xml:space="preserve"> HYPERLINK "http://www.bx.gov.cn/benxixian/Government/PublicInformation/PublicInformationView.aspx?PublicInformationID=2306" \o "文件编号：
索 引 号：B-bmrsj--zyzg-2018-0105
关 键 字：" </w:instrText>
      </w:r>
      <w:r>
        <w:fldChar w:fldCharType="separate"/>
      </w:r>
      <w:r>
        <w:rPr>
          <w:rFonts w:hint="eastAsia" w:ascii="仿宋" w:hAnsi="仿宋" w:eastAsia="仿宋" w:cs="Times New Roman"/>
          <w:color w:val="333333"/>
          <w:sz w:val="32"/>
          <w:szCs w:val="32"/>
        </w:rPr>
        <w:t>职业技能鉴定工作情况</w:t>
      </w:r>
      <w:r>
        <w:rPr>
          <w:rFonts w:hint="eastAsia" w:ascii="仿宋" w:hAnsi="仿宋" w:eastAsia="仿宋" w:cs="Times New Roman"/>
          <w:color w:val="333333"/>
          <w:sz w:val="32"/>
          <w:szCs w:val="32"/>
        </w:rPr>
        <w:fldChar w:fldCharType="end"/>
      </w:r>
      <w:r>
        <w:rPr>
          <w:rFonts w:hint="eastAsia" w:ascii="仿宋" w:hAnsi="仿宋" w:eastAsia="仿宋" w:cs="Times New Roman"/>
          <w:color w:val="333333"/>
          <w:sz w:val="32"/>
          <w:szCs w:val="32"/>
        </w:rPr>
        <w:t>1条，财政信息2条</w:t>
      </w:r>
    </w:p>
    <w:p w14:paraId="6AB6B5A7">
      <w:pPr>
        <w:pStyle w:val="4"/>
        <w:shd w:val="clear" w:color="auto" w:fill="FFFFFF"/>
        <w:spacing w:before="0" w:beforeAutospacing="0" w:after="0" w:afterAutospacing="0" w:line="475" w:lineRule="atLeast"/>
        <w:ind w:firstLine="480"/>
        <w:jc w:val="both"/>
        <w:rPr>
          <w:rFonts w:ascii="Times New Roman" w:hAnsi="Times New Roman" w:cs="Times New Roman"/>
          <w:color w:val="333333"/>
          <w:sz w:val="21"/>
          <w:szCs w:val="21"/>
        </w:rPr>
      </w:pPr>
      <w:r>
        <w:rPr>
          <w:rFonts w:hint="eastAsia" w:ascii="楷体" w:hAnsi="楷体" w:eastAsia="楷体" w:cs="Times New Roman"/>
          <w:color w:val="333333"/>
          <w:sz w:val="32"/>
          <w:szCs w:val="32"/>
        </w:rPr>
        <w:t>（二）公开形式</w:t>
      </w:r>
    </w:p>
    <w:p w14:paraId="0F112F8E">
      <w:pPr>
        <w:pStyle w:val="4"/>
        <w:shd w:val="clear" w:color="auto" w:fill="FFFFFF"/>
        <w:spacing w:before="0" w:beforeAutospacing="0" w:after="0" w:afterAutospacing="0" w:line="475" w:lineRule="atLeast"/>
        <w:ind w:firstLine="640"/>
        <w:jc w:val="both"/>
        <w:rPr>
          <w:rFonts w:ascii="Times New Roman" w:hAnsi="Times New Roman" w:cs="Times New Roman"/>
          <w:color w:val="333333"/>
          <w:sz w:val="21"/>
          <w:szCs w:val="21"/>
        </w:rPr>
      </w:pPr>
      <w:r>
        <w:rPr>
          <w:rFonts w:hint="eastAsia" w:ascii="仿宋" w:hAnsi="仿宋" w:eastAsia="仿宋" w:cs="Times New Roman"/>
          <w:color w:val="333333"/>
          <w:sz w:val="32"/>
          <w:szCs w:val="32"/>
        </w:rPr>
        <w:t>互联网。我局以县政府网和不断提升政府信息公开工作的服务效能，增强政务公开透明度。</w:t>
      </w:r>
    </w:p>
    <w:p w14:paraId="6BF4F17B">
      <w:pPr>
        <w:pStyle w:val="4"/>
        <w:shd w:val="clear" w:color="auto" w:fill="FFFFFF"/>
        <w:spacing w:before="0" w:beforeAutospacing="0" w:after="0" w:afterAutospacing="0" w:line="475" w:lineRule="atLeast"/>
        <w:ind w:firstLine="640"/>
        <w:jc w:val="both"/>
        <w:rPr>
          <w:rFonts w:ascii="Times New Roman" w:hAnsi="Times New Roman" w:cs="Times New Roman"/>
          <w:color w:val="333333"/>
          <w:sz w:val="21"/>
          <w:szCs w:val="21"/>
        </w:rPr>
      </w:pPr>
      <w:r>
        <w:rPr>
          <w:rFonts w:hint="eastAsia" w:ascii="黑体" w:hAnsi="黑体" w:eastAsia="黑体" w:cs="Times New Roman"/>
          <w:color w:val="333333"/>
          <w:sz w:val="32"/>
          <w:szCs w:val="32"/>
        </w:rPr>
        <w:t>三、依申请公开政府信息情况</w:t>
      </w:r>
    </w:p>
    <w:p w14:paraId="35FE5049">
      <w:pPr>
        <w:pStyle w:val="4"/>
        <w:shd w:val="clear" w:color="auto" w:fill="FFFFFF"/>
        <w:spacing w:before="0" w:beforeAutospacing="0" w:after="0" w:afterAutospacing="0" w:line="475" w:lineRule="atLeast"/>
        <w:ind w:firstLine="640"/>
        <w:jc w:val="both"/>
        <w:rPr>
          <w:rFonts w:ascii="Times New Roman" w:hAnsi="Times New Roman" w:cs="Times New Roman"/>
          <w:color w:val="333333"/>
          <w:sz w:val="21"/>
          <w:szCs w:val="21"/>
        </w:rPr>
      </w:pPr>
      <w:r>
        <w:rPr>
          <w:rFonts w:hint="eastAsia" w:ascii="仿宋" w:hAnsi="仿宋" w:eastAsia="仿宋" w:cs="Times New Roman"/>
          <w:color w:val="333333"/>
          <w:sz w:val="32"/>
          <w:szCs w:val="32"/>
        </w:rPr>
        <w:t>我局认真贯彻执行《保密法》，增强法制观念。正确处理信息公开与保守党和国家秘密、维护社会稳定、利于工作开展、保护个人隐私等方面的关系，凡能够公开的信息要尽量公开，凡涉密的信息均不得随意公开。充分利用电子网络覆盖面广、信息传递快的特点，加强门户网站建设，加大了主动公开力度。全年未收到政府信息公开申请。</w:t>
      </w:r>
    </w:p>
    <w:p w14:paraId="0966B0DD">
      <w:pPr>
        <w:pStyle w:val="4"/>
        <w:shd w:val="clear" w:color="auto" w:fill="FFFFFF"/>
        <w:spacing w:before="0" w:beforeAutospacing="0" w:after="0" w:afterAutospacing="0" w:line="475" w:lineRule="atLeast"/>
        <w:ind w:firstLine="640"/>
        <w:jc w:val="both"/>
        <w:rPr>
          <w:rFonts w:ascii="Times New Roman" w:hAnsi="Times New Roman" w:cs="Times New Roman"/>
          <w:color w:val="333333"/>
          <w:sz w:val="21"/>
          <w:szCs w:val="21"/>
        </w:rPr>
      </w:pPr>
      <w:r>
        <w:rPr>
          <w:rFonts w:hint="eastAsia" w:ascii="黑体" w:hAnsi="黑体" w:eastAsia="黑体" w:cs="Times New Roman"/>
          <w:color w:val="333333"/>
          <w:sz w:val="32"/>
          <w:szCs w:val="32"/>
        </w:rPr>
        <w:t>四、因政府信息公开申请行政复议、诉讼和申诉的情况</w:t>
      </w:r>
    </w:p>
    <w:p w14:paraId="784D8EEB">
      <w:pPr>
        <w:pStyle w:val="4"/>
        <w:shd w:val="clear" w:color="auto" w:fill="FFFFFF"/>
        <w:spacing w:before="0" w:beforeAutospacing="0" w:after="0" w:afterAutospacing="0" w:line="475" w:lineRule="atLeast"/>
        <w:ind w:firstLine="640"/>
        <w:jc w:val="both"/>
        <w:rPr>
          <w:rFonts w:ascii="Times New Roman" w:hAnsi="Times New Roman" w:cs="Times New Roman"/>
          <w:color w:val="333333"/>
          <w:sz w:val="21"/>
          <w:szCs w:val="21"/>
        </w:rPr>
      </w:pPr>
      <w:r>
        <w:rPr>
          <w:rFonts w:hint="eastAsia" w:ascii="仿宋" w:hAnsi="仿宋" w:eastAsia="仿宋" w:cs="Times New Roman"/>
          <w:color w:val="333333"/>
          <w:sz w:val="32"/>
          <w:szCs w:val="32"/>
        </w:rPr>
        <w:t>本单位2018年度发生针对局有关政府信息公开事务的行政复议案0件；发生针对局有关政府信息公开事务的行政诉讼案0件。此外，本局本年度未收到各类针对局政府信息公开事务有关的申诉案（包括信访、举报）。</w:t>
      </w:r>
    </w:p>
    <w:p w14:paraId="152D98AD">
      <w:pPr>
        <w:pStyle w:val="4"/>
        <w:shd w:val="clear" w:color="auto" w:fill="FFFFFF"/>
        <w:spacing w:before="0" w:beforeAutospacing="0" w:after="0" w:afterAutospacing="0" w:line="475" w:lineRule="atLeast"/>
        <w:ind w:firstLine="640"/>
        <w:jc w:val="both"/>
        <w:rPr>
          <w:rFonts w:ascii="Times New Roman" w:hAnsi="Times New Roman" w:cs="Times New Roman"/>
          <w:color w:val="333333"/>
          <w:sz w:val="21"/>
          <w:szCs w:val="21"/>
        </w:rPr>
      </w:pPr>
      <w:r>
        <w:rPr>
          <w:rFonts w:hint="eastAsia" w:ascii="黑体" w:hAnsi="黑体" w:eastAsia="黑体" w:cs="Times New Roman"/>
          <w:color w:val="333333"/>
          <w:sz w:val="32"/>
          <w:szCs w:val="32"/>
        </w:rPr>
        <w:t>五、存在的主要问题和改进措施</w:t>
      </w:r>
    </w:p>
    <w:p w14:paraId="65308A05">
      <w:pPr>
        <w:pStyle w:val="4"/>
        <w:shd w:val="clear" w:color="auto" w:fill="FFFFFF"/>
        <w:spacing w:before="0" w:beforeAutospacing="0" w:after="0" w:afterAutospacing="0" w:line="475" w:lineRule="atLeast"/>
        <w:ind w:firstLine="480"/>
        <w:jc w:val="both"/>
        <w:rPr>
          <w:rFonts w:ascii="Times New Roman" w:hAnsi="Times New Roman" w:cs="Times New Roman"/>
          <w:color w:val="333333"/>
          <w:sz w:val="21"/>
          <w:szCs w:val="21"/>
        </w:rPr>
      </w:pPr>
      <w:r>
        <w:rPr>
          <w:rFonts w:hint="eastAsia" w:ascii="楷体" w:hAnsi="楷体" w:eastAsia="楷体" w:cs="Times New Roman"/>
          <w:color w:val="333333"/>
          <w:sz w:val="32"/>
          <w:szCs w:val="32"/>
        </w:rPr>
        <w:t>（一）存在的主要问题</w:t>
      </w:r>
    </w:p>
    <w:p w14:paraId="71B82E2A">
      <w:pPr>
        <w:pStyle w:val="4"/>
        <w:shd w:val="clear" w:color="auto" w:fill="FFFFFF"/>
        <w:spacing w:before="0" w:beforeAutospacing="0" w:after="0" w:afterAutospacing="0" w:line="475" w:lineRule="atLeast"/>
        <w:ind w:firstLine="320"/>
        <w:jc w:val="both"/>
        <w:rPr>
          <w:rFonts w:ascii="Times New Roman" w:hAnsi="Times New Roman" w:cs="Times New Roman"/>
          <w:color w:val="333333"/>
          <w:sz w:val="21"/>
          <w:szCs w:val="21"/>
        </w:rPr>
      </w:pPr>
      <w:r>
        <w:rPr>
          <w:rFonts w:hint="eastAsia" w:ascii="仿宋" w:hAnsi="仿宋" w:eastAsia="仿宋" w:cs="Times New Roman"/>
          <w:color w:val="333333"/>
          <w:sz w:val="32"/>
          <w:szCs w:val="32"/>
        </w:rPr>
        <w:t>　政府信息公开工作主要存在以下不足：一是信息公开内容广度和深度还不够；二是部分信息更新还不够及时；三是信息公开考核机制还不够健全；四是部分工作人员政府信息公开意识强弱不一，认识有待进一步提高。</w:t>
      </w:r>
    </w:p>
    <w:p w14:paraId="31A358C6">
      <w:pPr>
        <w:pStyle w:val="4"/>
        <w:shd w:val="clear" w:color="auto" w:fill="FFFFFF"/>
        <w:spacing w:before="0" w:beforeAutospacing="0" w:after="0" w:afterAutospacing="0" w:line="475" w:lineRule="atLeast"/>
        <w:ind w:firstLine="480"/>
        <w:jc w:val="both"/>
        <w:rPr>
          <w:rFonts w:ascii="Times New Roman" w:hAnsi="Times New Roman" w:cs="Times New Roman"/>
          <w:color w:val="333333"/>
          <w:sz w:val="21"/>
          <w:szCs w:val="21"/>
        </w:rPr>
      </w:pPr>
      <w:r>
        <w:rPr>
          <w:rFonts w:hint="eastAsia" w:ascii="楷体" w:hAnsi="楷体" w:eastAsia="楷体" w:cs="Times New Roman"/>
          <w:color w:val="333333"/>
          <w:sz w:val="32"/>
          <w:szCs w:val="32"/>
        </w:rPr>
        <w:t>（二）改进措施</w:t>
      </w:r>
    </w:p>
    <w:p w14:paraId="25D03248">
      <w:pPr>
        <w:pStyle w:val="4"/>
        <w:shd w:val="clear" w:color="auto" w:fill="FFFFFF"/>
        <w:spacing w:before="0" w:beforeAutospacing="0" w:after="0" w:afterAutospacing="0" w:line="475" w:lineRule="atLeast"/>
        <w:jc w:val="both"/>
        <w:rPr>
          <w:rFonts w:ascii="Times New Roman" w:hAnsi="Times New Roman" w:cs="Times New Roman"/>
          <w:color w:val="333333"/>
          <w:sz w:val="21"/>
          <w:szCs w:val="21"/>
        </w:rPr>
      </w:pPr>
      <w:r>
        <w:rPr>
          <w:rFonts w:hint="eastAsia" w:ascii="仿宋" w:hAnsi="仿宋" w:eastAsia="仿宋" w:cs="Times New Roman"/>
          <w:color w:val="333333"/>
          <w:sz w:val="32"/>
          <w:szCs w:val="32"/>
        </w:rPr>
        <w:t>　　一是加强信息联络人员与业务股室、有关单位的衔接与沟通，努力将信息收集与公开同步进行，确保信息的及时、准确、全面。二是加强对信息联络人员的培训，着力提高机关工作人员信息公开意识，开展多种形式的交流，加强信息内容提炼和升华。三是增加信息公开渠道。利用互联网、微博、微信等新媒体丰富信息公开形式，努力扩大信息公开覆盖面。四是完善信息公开机制建设。对政府信息公开的保密机制、协调机制、监督保障机制等方面进行详细规范，使信息公开各个方面、各个环节都有规可依、有章可循，并定期对我局信息公开工作进行考核与评议。</w:t>
      </w:r>
    </w:p>
    <w:p w14:paraId="3D501A7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A73DF"/>
    <w:rsid w:val="00000CF1"/>
    <w:rsid w:val="000F1E6F"/>
    <w:rsid w:val="004B1A64"/>
    <w:rsid w:val="0051666E"/>
    <w:rsid w:val="005646CB"/>
    <w:rsid w:val="005D054E"/>
    <w:rsid w:val="006D3A70"/>
    <w:rsid w:val="009A73DF"/>
    <w:rsid w:val="00A34093"/>
    <w:rsid w:val="00A83A29"/>
    <w:rsid w:val="00AA6D6C"/>
    <w:rsid w:val="00BA7DD0"/>
    <w:rsid w:val="00C330CC"/>
    <w:rsid w:val="00D55B95"/>
    <w:rsid w:val="1F560E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uiPriority w:val="99"/>
    <w:rPr>
      <w:color w:val="0000FF"/>
      <w:u w:val="single"/>
    </w:rPr>
  </w:style>
  <w:style w:type="character" w:customStyle="1" w:styleId="8">
    <w:name w:val="页眉 Char"/>
    <w:basedOn w:val="6"/>
    <w:link w:val="3"/>
    <w:semiHidden/>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4</Pages>
  <Words>1748</Words>
  <Characters>1775</Characters>
  <Lines>15</Lines>
  <Paragraphs>4</Paragraphs>
  <TotalTime>0</TotalTime>
  <ScaleCrop>false</ScaleCrop>
  <LinksUpToDate>false</LinksUpToDate>
  <CharactersWithSpaces>1778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2019-04-01T08:23:00Z</dcterms:created>
  <dc:creator>RSJ</dc:creator>
  <cp:lastModifiedBy>Administrator</cp:lastModifiedBy>
  <dcterms:modified xsi:type="dcterms:W3CDTF">2025-08-29T11:31:21Z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eyJoZGlkIjoiOTc2Njc2NWMyZGE4YWNiMzAxZjBkODNjYTI0Nzk3ODYifQ==</vt:lpwstr>
  </property>
  <property fmtid="{D5CDD505-2E9C-101B-9397-08002B2CF9AE}" pid="3" name="KSOProductBuildVer">
    <vt:lpwstr>2052-12.1.0.21915</vt:lpwstr>
  </property>
  <property fmtid="{D5CDD505-2E9C-101B-9397-08002B2CF9AE}" pid="4" name="ICV">
    <vt:lpwstr>2F02420CCFF147A1923FB9A14571599F_12</vt:lpwstr>
  </property>
</Properties>
</file>