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0FE1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bCs/>
          <w:sz w:val="32"/>
          <w:szCs w:val="40"/>
          <w:highlight w:val="none"/>
          <w:lang w:val="en-US" w:eastAsia="zh-CN"/>
        </w:rPr>
      </w:pPr>
      <w:r>
        <w:rPr>
          <w:rFonts w:hint="eastAsia" w:ascii="黑体" w:hAnsi="黑体" w:eastAsia="黑体" w:cs="黑体"/>
          <w:sz w:val="32"/>
          <w:szCs w:val="32"/>
          <w:highlight w:val="none"/>
          <w:lang w:eastAsia="zh-CN"/>
        </w:rPr>
        <w:t>附</w:t>
      </w:r>
      <w:r>
        <w:rPr>
          <w:rFonts w:hint="eastAsia" w:ascii="黑体" w:hAnsi="黑体" w:eastAsia="黑体" w:cs="黑体"/>
          <w:sz w:val="32"/>
          <w:szCs w:val="32"/>
          <w:highlight w:val="none"/>
        </w:rPr>
        <w:t>件</w:t>
      </w:r>
      <w:r>
        <w:rPr>
          <w:rFonts w:hint="eastAsia" w:ascii="黑体" w:hAnsi="黑体" w:eastAsia="黑体" w:cs="黑体"/>
          <w:sz w:val="32"/>
          <w:szCs w:val="32"/>
          <w:highlight w:val="none"/>
          <w:lang w:val="en-US" w:eastAsia="zh-CN"/>
        </w:rPr>
        <w:t>1</w:t>
      </w:r>
    </w:p>
    <w:p w14:paraId="4AF579F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40"/>
          <w:highlight w:val="none"/>
          <w:lang w:val="en-US" w:eastAsia="zh-CN"/>
        </w:rPr>
      </w:pPr>
      <w:bookmarkStart w:id="0" w:name="_GoBack"/>
      <w:r>
        <w:rPr>
          <w:rFonts w:hint="eastAsia" w:ascii="仿宋_GB2312" w:hAnsi="仿宋_GB2312" w:eastAsia="仿宋_GB2312" w:cs="仿宋_GB2312"/>
          <w:b/>
          <w:bCs/>
          <w:sz w:val="32"/>
          <w:szCs w:val="40"/>
          <w:highlight w:val="none"/>
          <w:lang w:val="en-US" w:eastAsia="zh-CN"/>
        </w:rPr>
        <w:t>本溪满族自治县决定继续有效的行政规范性文件目录</w:t>
      </w:r>
    </w:p>
    <w:bookmarkEnd w:id="0"/>
    <w:p w14:paraId="06E630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40"/>
          <w:highlight w:val="none"/>
          <w:lang w:val="en-US" w:eastAsia="zh-CN"/>
        </w:rPr>
      </w:pPr>
    </w:p>
    <w:tbl>
      <w:tblPr>
        <w:tblStyle w:val="3"/>
        <w:tblW w:w="13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5"/>
        <w:gridCol w:w="2865"/>
        <w:gridCol w:w="1688"/>
        <w:gridCol w:w="5587"/>
        <w:gridCol w:w="2188"/>
      </w:tblGrid>
      <w:tr w14:paraId="6DB54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2F3AED4C">
            <w:pPr>
              <w:keepNext w:val="0"/>
              <w:keepLines w:val="0"/>
              <w:widowControl/>
              <w:suppressLineNumbers w:val="0"/>
              <w:jc w:val="center"/>
              <w:textAlignment w:val="center"/>
              <w:rPr>
                <w:rFonts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030E7FDB">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发文代号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5BB99524">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承办部门</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21436DC0">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文件标题</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6FBEE08A">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印发日期</w:t>
            </w:r>
          </w:p>
        </w:tc>
      </w:tr>
      <w:tr w14:paraId="6B3A5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510957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45781C4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本县政办字〔2019〕6号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20C4945B">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县征收中心</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106DE00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本溪满族自治县人民政府办公室关于印发光明街地块非住宅房屋征收安置补偿方案的通知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4BEFFFA9">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2019.2.22</w:t>
            </w:r>
          </w:p>
        </w:tc>
      </w:tr>
      <w:tr w14:paraId="5F745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31B50A0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32857EC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本县政办字〔2019〕24号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3E37C13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县交通局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12AE1195">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本溪满族自治县人民政府办公室关于印发《本溪满族自治县现有巡游出租汽车经营权过渡改革实施方案》的通知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6AC22A2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2019.5.15</w:t>
            </w:r>
          </w:p>
        </w:tc>
      </w:tr>
      <w:tr w14:paraId="6BD1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3830DC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7038527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本县政办字〔2019〕40号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249ECF0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县自然资源局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36CCE7AB">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关于印发本溪满族自治县耕地保护责任目标考核办法的通知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71561BC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2019.8.20</w:t>
            </w:r>
          </w:p>
        </w:tc>
      </w:tr>
      <w:tr w14:paraId="56D7E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43DFAA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6143C7D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本县政办字〔2020〕17号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6E72449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县住建局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35B8E54D">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关于印发《本溪满族自治县老旧小区改造项目及资金管理办法》的通知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5560ABB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2020.7.20</w:t>
            </w:r>
          </w:p>
        </w:tc>
      </w:tr>
      <w:tr w14:paraId="7771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73324A4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7B79995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本县政办字〔2021〕3号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42385C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县交通局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46E6E26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本溪满族自治县人民政府办公室关于印发《本桓集（宽）高速公路（本溪县段）建设项目拆迁工作实施方案》的通知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1CF533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2021.4.2</w:t>
            </w:r>
          </w:p>
        </w:tc>
      </w:tr>
      <w:tr w14:paraId="1EB9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60C3CAA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608983D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本县政办字〔2021〕4号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0E8EA5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县交通局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76B5FD0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本溪满族自治县人民政府办公室关于印发《成立本桓集（宽）高速公路（本溪县段）项目指挥部和包保分工的通知》的通知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5F0DFE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2021.4.2</w:t>
            </w:r>
          </w:p>
        </w:tc>
      </w:tr>
      <w:tr w14:paraId="47CDA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05C3F50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6A26FA9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本县政办字〔2021〕15号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373F0E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县市监局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55609FE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关于印发《本溪满族自治县食品安全事故应急预案》的通知</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529E1C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2021.9.26</w:t>
            </w:r>
          </w:p>
        </w:tc>
      </w:tr>
      <w:tr w14:paraId="6F2B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26058B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259C18F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本县政办字〔2021〕16号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77A43E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县卫健局</w:t>
            </w:r>
          </w:p>
        </w:tc>
        <w:tc>
          <w:tcPr>
            <w:tcW w:w="5587" w:type="dxa"/>
            <w:tcBorders>
              <w:top w:val="single" w:color="000000" w:sz="4" w:space="0"/>
              <w:left w:val="single" w:color="000000" w:sz="4" w:space="0"/>
              <w:bottom w:val="single" w:color="000000" w:sz="4" w:space="0"/>
              <w:right w:val="single" w:color="000000" w:sz="4" w:space="0"/>
            </w:tcBorders>
            <w:noWrap w:val="0"/>
            <w:vAlign w:val="center"/>
          </w:tcPr>
          <w:p w14:paraId="399FD36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本溪满族自治县政府办公室关于促进3岁以下婴幼儿照护服务发展的实施意见</w:t>
            </w:r>
          </w:p>
        </w:tc>
        <w:tc>
          <w:tcPr>
            <w:tcW w:w="2188" w:type="dxa"/>
            <w:tcBorders>
              <w:top w:val="single" w:color="000000" w:sz="4" w:space="0"/>
              <w:left w:val="single" w:color="000000" w:sz="4" w:space="0"/>
              <w:bottom w:val="single" w:color="000000" w:sz="4" w:space="0"/>
              <w:right w:val="single" w:color="000000" w:sz="4" w:space="0"/>
            </w:tcBorders>
            <w:noWrap w:val="0"/>
            <w:vAlign w:val="center"/>
          </w:tcPr>
          <w:p w14:paraId="6AEBA7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2021.10.14</w:t>
            </w:r>
          </w:p>
        </w:tc>
      </w:tr>
      <w:tr w14:paraId="04E2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4A1886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136B94F2">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本县政办字〔2023〕12号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6D851CD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县住建局</w:t>
            </w:r>
          </w:p>
        </w:tc>
        <w:tc>
          <w:tcPr>
            <w:tcW w:w="5587" w:type="dxa"/>
            <w:tcBorders>
              <w:top w:val="single" w:color="000000" w:sz="4" w:space="0"/>
              <w:left w:val="single" w:color="000000" w:sz="4" w:space="0"/>
              <w:bottom w:val="single" w:color="000000" w:sz="4" w:space="0"/>
              <w:right w:val="single" w:color="000000" w:sz="4" w:space="0"/>
            </w:tcBorders>
            <w:noWrap/>
            <w:vAlign w:val="center"/>
          </w:tcPr>
          <w:p w14:paraId="0D0BC5B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本溪满族自治县生活垃圾实施方案</w:t>
            </w:r>
          </w:p>
        </w:tc>
        <w:tc>
          <w:tcPr>
            <w:tcW w:w="2188" w:type="dxa"/>
            <w:tcBorders>
              <w:top w:val="single" w:color="000000" w:sz="4" w:space="0"/>
              <w:left w:val="single" w:color="000000" w:sz="4" w:space="0"/>
              <w:bottom w:val="single" w:color="000000" w:sz="4" w:space="0"/>
              <w:right w:val="single" w:color="000000" w:sz="4" w:space="0"/>
            </w:tcBorders>
            <w:noWrap/>
            <w:vAlign w:val="center"/>
          </w:tcPr>
          <w:p w14:paraId="6EF40F6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2023.12.18</w:t>
            </w:r>
          </w:p>
        </w:tc>
      </w:tr>
      <w:tr w14:paraId="0AD68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6DC1DF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3B5FD990">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本县政字〔2023〕4号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6B0BCF1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县司法局</w:t>
            </w:r>
          </w:p>
        </w:tc>
        <w:tc>
          <w:tcPr>
            <w:tcW w:w="5587" w:type="dxa"/>
            <w:tcBorders>
              <w:top w:val="single" w:color="000000" w:sz="4" w:space="0"/>
              <w:left w:val="single" w:color="000000" w:sz="4" w:space="0"/>
              <w:bottom w:val="single" w:color="000000" w:sz="4" w:space="0"/>
              <w:right w:val="single" w:color="000000" w:sz="4" w:space="0"/>
            </w:tcBorders>
            <w:noWrap/>
            <w:vAlign w:val="center"/>
          </w:tcPr>
          <w:p w14:paraId="4C34950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关于公布 2022年度行政规范性文件清理结果的通知</w:t>
            </w:r>
          </w:p>
        </w:tc>
        <w:tc>
          <w:tcPr>
            <w:tcW w:w="2188" w:type="dxa"/>
            <w:tcBorders>
              <w:top w:val="single" w:color="000000" w:sz="4" w:space="0"/>
              <w:left w:val="single" w:color="000000" w:sz="4" w:space="0"/>
              <w:bottom w:val="single" w:color="000000" w:sz="4" w:space="0"/>
              <w:right w:val="single" w:color="000000" w:sz="4" w:space="0"/>
            </w:tcBorders>
            <w:noWrap/>
            <w:vAlign w:val="center"/>
          </w:tcPr>
          <w:p w14:paraId="0536970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2023.12.21</w:t>
            </w:r>
          </w:p>
        </w:tc>
      </w:tr>
      <w:tr w14:paraId="649F5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01119C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69673E0A">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本县政规〔2024〕1号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6B332BA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县司法局</w:t>
            </w:r>
          </w:p>
        </w:tc>
        <w:tc>
          <w:tcPr>
            <w:tcW w:w="5587" w:type="dxa"/>
            <w:tcBorders>
              <w:top w:val="single" w:color="000000" w:sz="4" w:space="0"/>
              <w:left w:val="single" w:color="000000" w:sz="4" w:space="0"/>
              <w:bottom w:val="single" w:color="000000" w:sz="4" w:space="0"/>
              <w:right w:val="single" w:color="000000" w:sz="4" w:space="0"/>
            </w:tcBorders>
            <w:noWrap/>
            <w:vAlign w:val="center"/>
          </w:tcPr>
          <w:p w14:paraId="4FF3C56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关于公布2023年度行政规范性文件清理结果的通知</w:t>
            </w:r>
          </w:p>
        </w:tc>
        <w:tc>
          <w:tcPr>
            <w:tcW w:w="2188" w:type="dxa"/>
            <w:tcBorders>
              <w:top w:val="single" w:color="000000" w:sz="4" w:space="0"/>
              <w:left w:val="single" w:color="000000" w:sz="4" w:space="0"/>
              <w:bottom w:val="single" w:color="000000" w:sz="4" w:space="0"/>
              <w:right w:val="single" w:color="000000" w:sz="4" w:space="0"/>
            </w:tcBorders>
            <w:noWrap/>
            <w:vAlign w:val="center"/>
          </w:tcPr>
          <w:p w14:paraId="334C27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2024.8.25</w:t>
            </w:r>
          </w:p>
        </w:tc>
      </w:tr>
      <w:tr w14:paraId="37FA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55" w:type="dxa"/>
            <w:tcBorders>
              <w:top w:val="single" w:color="000000" w:sz="4" w:space="0"/>
              <w:left w:val="single" w:color="000000" w:sz="4" w:space="0"/>
              <w:bottom w:val="single" w:color="000000" w:sz="4" w:space="0"/>
              <w:right w:val="single" w:color="000000" w:sz="4" w:space="0"/>
            </w:tcBorders>
            <w:noWrap w:val="0"/>
            <w:vAlign w:val="center"/>
          </w:tcPr>
          <w:p w14:paraId="0893FE9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2865" w:type="dxa"/>
            <w:tcBorders>
              <w:top w:val="single" w:color="000000" w:sz="4" w:space="0"/>
              <w:left w:val="single" w:color="000000" w:sz="4" w:space="0"/>
              <w:bottom w:val="single" w:color="000000" w:sz="4" w:space="0"/>
              <w:right w:val="single" w:color="000000" w:sz="4" w:space="0"/>
            </w:tcBorders>
            <w:noWrap w:val="0"/>
            <w:vAlign w:val="center"/>
          </w:tcPr>
          <w:p w14:paraId="6318A300">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本县政规〔2025〕1号</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5A66B09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县司法局</w:t>
            </w:r>
          </w:p>
        </w:tc>
        <w:tc>
          <w:tcPr>
            <w:tcW w:w="5587" w:type="dxa"/>
            <w:tcBorders>
              <w:top w:val="single" w:color="000000" w:sz="4" w:space="0"/>
              <w:left w:val="single" w:color="000000" w:sz="4" w:space="0"/>
              <w:bottom w:val="single" w:color="000000" w:sz="4" w:space="0"/>
              <w:right w:val="single" w:color="000000" w:sz="4" w:space="0"/>
            </w:tcBorders>
            <w:noWrap/>
            <w:vAlign w:val="center"/>
          </w:tcPr>
          <w:p w14:paraId="6775CF3D">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关于公布县政府行政规范性文件清理结果的决定</w:t>
            </w:r>
          </w:p>
        </w:tc>
        <w:tc>
          <w:tcPr>
            <w:tcW w:w="2188" w:type="dxa"/>
            <w:tcBorders>
              <w:top w:val="single" w:color="000000" w:sz="4" w:space="0"/>
              <w:left w:val="single" w:color="000000" w:sz="4" w:space="0"/>
              <w:bottom w:val="single" w:color="000000" w:sz="4" w:space="0"/>
              <w:right w:val="single" w:color="000000" w:sz="4" w:space="0"/>
            </w:tcBorders>
            <w:noWrap/>
            <w:vAlign w:val="center"/>
          </w:tcPr>
          <w:p w14:paraId="5D6E4B1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2025.8.15</w:t>
            </w:r>
          </w:p>
        </w:tc>
      </w:tr>
    </w:tbl>
    <w:p w14:paraId="35D503BC">
      <w:pPr>
        <w:rPr>
          <w:rFonts w:hint="eastAsia" w:ascii="仿宋_GB2312" w:hAnsi="仿宋_GB2312" w:eastAsia="仿宋_GB2312" w:cs="仿宋_GB2312"/>
          <w:sz w:val="24"/>
          <w:szCs w:val="24"/>
          <w:highlight w:val="none"/>
        </w:rPr>
      </w:pPr>
    </w:p>
    <w:p w14:paraId="4F029BA7">
      <w:pPr>
        <w:rPr>
          <w:rFonts w:hint="eastAsia" w:ascii="仿宋_GB2312" w:hAnsi="仿宋_GB2312" w:eastAsia="仿宋_GB2312" w:cs="仿宋_GB2312"/>
          <w:sz w:val="24"/>
          <w:szCs w:val="24"/>
          <w:highlight w:val="none"/>
        </w:rPr>
      </w:pPr>
    </w:p>
    <w:p w14:paraId="3442D0B4">
      <w:pPr>
        <w:rPr>
          <w:rFonts w:hint="eastAsia" w:ascii="仿宋_GB2312" w:hAnsi="仿宋_GB2312" w:eastAsia="仿宋_GB2312" w:cs="仿宋_GB2312"/>
          <w:sz w:val="24"/>
          <w:szCs w:val="24"/>
          <w:highlight w:val="none"/>
        </w:rPr>
      </w:pPr>
    </w:p>
    <w:p w14:paraId="78084E86">
      <w:pPr>
        <w:rPr>
          <w:rFonts w:hint="eastAsia" w:ascii="仿宋_GB2312" w:hAnsi="仿宋_GB2312" w:eastAsia="仿宋_GB2312" w:cs="仿宋_GB2312"/>
          <w:sz w:val="24"/>
          <w:szCs w:val="24"/>
          <w:highlight w:val="none"/>
        </w:rPr>
      </w:pPr>
    </w:p>
    <w:p w14:paraId="16133D5C">
      <w:pPr>
        <w:rPr>
          <w:rFonts w:hint="eastAsia" w:ascii="仿宋_GB2312" w:hAnsi="仿宋_GB2312" w:eastAsia="仿宋_GB2312" w:cs="仿宋_GB2312"/>
          <w:sz w:val="24"/>
          <w:szCs w:val="24"/>
          <w:highlight w:val="none"/>
        </w:rPr>
      </w:pPr>
    </w:p>
    <w:p w14:paraId="164FF9EE">
      <w:pPr>
        <w:rPr>
          <w:rFonts w:hint="eastAsia" w:ascii="仿宋_GB2312" w:hAnsi="仿宋_GB2312" w:eastAsia="仿宋_GB2312" w:cs="仿宋_GB2312"/>
          <w:sz w:val="24"/>
          <w:szCs w:val="24"/>
          <w:highlight w:val="none"/>
        </w:rPr>
      </w:pPr>
    </w:p>
    <w:p w14:paraId="1BF5DE41">
      <w:pPr>
        <w:rPr>
          <w:rFonts w:hint="eastAsia" w:ascii="仿宋_GB2312" w:hAnsi="仿宋_GB2312" w:eastAsia="仿宋_GB2312" w:cs="仿宋_GB2312"/>
          <w:sz w:val="24"/>
          <w:szCs w:val="24"/>
          <w:highlight w:val="none"/>
        </w:rPr>
      </w:pPr>
    </w:p>
    <w:p w14:paraId="70062EF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E93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rFonts w:ascii="Calibri" w:hAnsi="Calibr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2026-09-03T03:09:00Z</dcterms:created>
  <dc:creator>Administrator</dc:creator>
  <cp:lastModifiedBy>婠婠</cp:lastModifiedBy>
  <dcterms:modified xsi:type="dcterms:W3CDTF">2026-09-03T03:09:15Z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eyJoZGlkIjoiZDhjZGRmMDZiZmJlYmFlMWI3ZWYxMmIxNzQxODBjM2EiLCJ1c2VySWQiOiI0NDkzNjg1MTQifQ==</vt:lpwstr>
  </property>
  <property fmtid="{D5CDD505-2E9C-101B-9397-08002B2CF9AE}" pid="4" name="ICV">
    <vt:lpwstr>BD630CE79AF842FF9B3335DC94A2D57F_12</vt:lpwstr>
  </property>
</Properties>
</file>