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年度一般公共预算财政拨款“三公”经费支出决算公开表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tLeast"/>
        <w:ind w:firstLine="420" w:firstLineChars="200"/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经汇总， 201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年本溪县部门使用当年财政拨款安排的“三公”经费决算总额为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1118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万元，比201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年决算下降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%。其中：公务接待费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117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68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万元，增长5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%;公务用车购置费2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万元，下降1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%;公务用车运行维护费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975.6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万元，下降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%。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ind w:firstLine="420"/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201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年全县“三公”经费支出总体比上年下降，主要是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eastAsia="zh-CN"/>
        </w:rPr>
        <w:t>出国费、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公务用车购置和运行费减少。</w:t>
      </w:r>
      <w:bookmarkStart w:id="3" w:name="_GoBack"/>
      <w:bookmarkEnd w:id="3"/>
    </w:p>
    <w:p>
      <w:bookmarkStart w:id="0" w:name="_MON_1596625079"/>
      <w:bookmarkEnd w:id="0"/>
      <w:bookmarkStart w:id="1" w:name="_MON_1596625354"/>
      <w:bookmarkEnd w:id="1"/>
      <w:bookmarkStart w:id="2" w:name="_MON_1596625411"/>
      <w:bookmarkEnd w:id="2"/>
      <w:r>
        <w:object>
          <v:shape id="_x0000_i1025" o:spt="75" alt="" type="#_x0000_t75" style="height:108.75pt;width:417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A5"/>
    <w:rsid w:val="0017050E"/>
    <w:rsid w:val="00614C8E"/>
    <w:rsid w:val="00680E2B"/>
    <w:rsid w:val="006939A5"/>
    <w:rsid w:val="00872641"/>
    <w:rsid w:val="009D324A"/>
    <w:rsid w:val="00A82711"/>
    <w:rsid w:val="00B51214"/>
    <w:rsid w:val="00E42FF3"/>
    <w:rsid w:val="00EC3C1B"/>
    <w:rsid w:val="1E033F08"/>
    <w:rsid w:val="2EA659D2"/>
    <w:rsid w:val="6B976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268</Characters>
  <Lines>2</Lines>
  <Paragraphs>1</Paragraphs>
  <TotalTime>23</TotalTime>
  <ScaleCrop>false</ScaleCrop>
  <LinksUpToDate>false</LinksUpToDate>
  <CharactersWithSpaces>314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2019-08-05T02:24:00Z</dcterms:created>
  <dc:creator>ys</dc:creator>
  <cp:lastModifiedBy>Administrator</cp:lastModifiedBy>
  <dcterms:modified xsi:type="dcterms:W3CDTF">2020-10-16T08:24:03Z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