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方正小标宋简体"/>
          <w:spacing w:val="8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pacing w:val="8"/>
          <w:sz w:val="36"/>
          <w:szCs w:val="36"/>
          <w:lang w:val="en-US" w:eastAsia="zh-CN"/>
        </w:rPr>
        <w:t>本溪满族自治</w:t>
      </w:r>
      <w:r>
        <w:rPr>
          <w:rFonts w:hint="eastAsia" w:ascii="方正小标宋简体" w:hAnsi="宋体" w:eastAsia="方正小标宋简体" w:cs="方正小标宋简体"/>
          <w:spacing w:val="8"/>
          <w:sz w:val="36"/>
          <w:szCs w:val="36"/>
        </w:rPr>
        <w:t>县推进义务教育优质均衡发展工作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pacing w:val="8"/>
          <w:sz w:val="36"/>
          <w:szCs w:val="36"/>
        </w:rPr>
        <w:t>领导小组成员单位职责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县教育局：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对全县推进义务教育优质均衡发展工作进行科学规划、统筹安排、综合协调、组织实施和监督指导。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县财政局：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执行义务教育生均定额公用经费标准，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义务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生均定额公用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经费按时足额拨付；统筹安排好中小学标准化建设所需资金；将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义务教育在编教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职工工资全额纳入财政预算，按时足额发放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县人力资源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社会保障局：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根据编制情况，为全县中小学配齐教师；会同县教育部门做好教师招聘、岗位管理和职称评聘等相关工作，督促指导各乡镇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（街道）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做好低保家庭学生的信息录入工作；发动和协调各方面力量，做好帮困助学工作；做好农村留守儿童关爱工作。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县发展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改革局：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负责学校建设工程的规划立项指导；会同财政、教育部门积极争取学校项目建设资金，加强对项目的管理和监督。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县委编办：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负责核定全县学校教职工编制。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县公务员局：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负责提供公务员平均工资收入水平情况、公务员绩效奖金发放情况。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县住房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城乡建设局：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对中小学建设项目优先办理手续，并实行优惠政策；加强对中小学建设工程的质量监督；配合教育部门做好中小学校舍安全工作。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县交通运输局：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加强与其他部门的协调配合，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建立校车安全管理工作协调机制，合理设置校车站点及标牌，改善道路条件、消除校车交通安全隐患。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县卫生健康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加强对学校卫生工作的监督和指导；加强对传染病防治工作的监督管理。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县司法局：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加强法治宣传教育，促进适龄少年儿童按时入学就读；推进中小学依法治校工作；会同有关部门开展青少年维权活动和未成年人保护活动。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县文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化旅游和广播电视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做好对学校周边文化娱乐场所、网吧的整治工作。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县市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场监督管理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加强对校园及周边企业和个体工商户的登记和日常监管，确保食品药品安全；配合相关部门，加强对学校周边文化娱乐市场及网吧的整顿，取缔各种非法经营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校园食堂硬件达到上级标准，日常管理符合要求，食品安全得到有效保障。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县公安局：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依法打击针对学校及师生的违法犯罪活动；及时发现并解决学校及周边突出治安问题；配合学校做好中小学生交通安全和禁毒等方面的教育。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县应急管理局：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做好校园安全各方面防范、检查、整治工作；指导全县学校开展各类应急安全演练；做好消防、地震安全知识进校园宣传教育工作。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县自然资源局：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在全县土地利用总体规划修编中，科学预留教育用地；优先保障中小学建设用地，并依法及时为中小学办理有关用地手续。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团县委：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配合教育部门加强青少年学生的思想道德教育；配合有关部门做好关爱留守儿童工作。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县妇联：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配合乡镇、教育部门做好“控辍保学”工作；加强家庭教育，协助有关部门做好中小学生家长及监护人的劝学工作；牵头做好女教师和女学生的维权工作。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县残联：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做好残疾儿童少年统计，并对残疾儿童少年的教育、康复训练提供指导和帮助。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融媒体中心：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加大对教育法律法规的宣传力度，营造尊师重教的良好氛围；主动报道学校办学成果，大力提升教育形象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各乡镇、街道：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做好“控辍保学”工作；建立留守儿童关爱体系；按照“属地管理”原则，做好学校及周边社会治安综合治理工作；国家法律法规规定的其他教育工作职责。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653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3" w:bottom="1440" w:left="1803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OWRiNzVlZDFkMGI5M2Y1YmVkOWQ1MDNjMDgyM2YifQ=="/>
  </w:docVars>
  <w:rsids>
    <w:rsidRoot w:val="00000000"/>
    <w:rsid w:val="0F57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2024-07-19T06:48:48Z</dcterms:created>
  <dc:creator>Administrator</dc:creator>
  <cp:lastModifiedBy>乐乐</cp:lastModifiedBy>
  <dcterms:modified xsi:type="dcterms:W3CDTF">2024-07-19T06:49:53Z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32B2EDD91DA94407B6E966D6E765CFA7_12</vt:lpwstr>
  </property>
</Properties>
</file>