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关于本溪满族自治县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2023年财政决算的报告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—</w:t>
      </w:r>
      <w:r>
        <w:rPr>
          <w:rFonts w:hint="eastAsia" w:ascii="楷体_GB2312" w:hAnsi="楷体_GB2312" w:eastAsia="楷体_GB2312" w:cs="楷体_GB2312"/>
          <w:sz w:val="32"/>
          <w:szCs w:val="32"/>
        </w:rPr>
        <w:t>2024年</w:t>
      </w:r>
      <w:r>
        <w:rPr>
          <w:rFonts w:ascii="楷体_GB2312" w:hAnsi="楷体_GB2312" w:eastAsia="楷体_GB2312" w:cs="楷体_GB2312"/>
          <w:sz w:val="32"/>
          <w:szCs w:val="32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ascii="楷体_GB2312" w:hAnsi="楷体_GB2312" w:eastAsia="楷体_GB2312" w:cs="楷体_GB2312"/>
          <w:sz w:val="32"/>
          <w:szCs w:val="32"/>
        </w:rPr>
        <w:t>24</w:t>
      </w:r>
      <w:r>
        <w:rPr>
          <w:rFonts w:hint="eastAsia" w:ascii="楷体_GB2312" w:hAnsi="楷体_GB2312" w:eastAsia="楷体_GB2312" w:cs="楷体_GB2312"/>
          <w:sz w:val="32"/>
          <w:szCs w:val="32"/>
        </w:rPr>
        <w:t>日在县第八届人大常委会第二十二次会议上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本溪满族自治县财政局党组书记、局长 于凤海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主任、副主任，各位委员：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根据《中华人民共和国预算法》的有关规定，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年财政决算已经编制完成。受县政府委托，向县人大常委会报告关于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年财政决算情况，请予审议。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一、关于</w:t>
      </w:r>
      <w:r>
        <w:rPr>
          <w:rFonts w:ascii="Times New Roman" w:hAnsi="Times New Roman" w:eastAsia="黑体" w:cs="Times New Roman"/>
          <w:sz w:val="32"/>
          <w:szCs w:val="32"/>
        </w:rPr>
        <w:t>2023</w:t>
      </w:r>
      <w:r>
        <w:rPr>
          <w:rFonts w:ascii="黑体" w:hAnsi="黑体" w:eastAsia="黑体" w:cs="Times New Roman"/>
          <w:sz w:val="32"/>
          <w:szCs w:val="32"/>
        </w:rPr>
        <w:t>年</w:t>
      </w:r>
      <w:r>
        <w:rPr>
          <w:rFonts w:hint="eastAsia" w:ascii="黑体" w:hAnsi="黑体" w:eastAsia="黑体" w:cs="Times New Roman"/>
          <w:sz w:val="32"/>
          <w:szCs w:val="32"/>
        </w:rPr>
        <w:t>财政</w:t>
      </w:r>
      <w:r>
        <w:rPr>
          <w:rFonts w:ascii="黑体" w:hAnsi="黑体" w:eastAsia="黑体" w:cs="Times New Roman"/>
          <w:sz w:val="32"/>
          <w:szCs w:val="32"/>
        </w:rPr>
        <w:t>决算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省、市财政部门的正确指导下，本溪县财政局深入贯彻落实党的二十大精神，坚持以习近平新时代中国特色社会主义思想为指导，坚持稳中求进的总基调，完整、准确、全面贯彻新发展理念，全力克服经济下行压力的影响，收支规模实现新突破，支出结构日趋优化，稳妥化解各类风险矛盾，助力稳住宏观经济大盘，全县预算执行总体情况良好。</w:t>
      </w:r>
    </w:p>
    <w:p>
      <w:pPr>
        <w:spacing w:line="600" w:lineRule="exact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（一）一般公共预算执行情况</w:t>
      </w:r>
      <w:bookmarkStart w:id="10" w:name="_GoBack"/>
      <w:bookmarkEnd w:id="10"/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年，一般公共预算收入完成</w:t>
      </w:r>
      <w:r>
        <w:rPr>
          <w:rFonts w:hint="eastAsia" w:ascii="Times New Roman" w:hAnsi="Times New Roman" w:eastAsia="仿宋_GB2312" w:cs="仿宋_GB2312"/>
          <w:sz w:val="32"/>
          <w:szCs w:val="32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404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万元，为预算的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103%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，同比增长</w:t>
      </w:r>
      <w:r>
        <w:rPr>
          <w:rFonts w:hint="eastAsia" w:ascii="Times New Roman" w:hAnsi="Times New Roman" w:eastAsia="仿宋_GB2312" w:cs="仿宋_GB2312"/>
          <w:sz w:val="32"/>
          <w:szCs w:val="32"/>
        </w:rPr>
        <w:t>12.9%</w:t>
      </w:r>
      <w:r>
        <w:rPr>
          <w:rFonts w:hint="eastAsia" w:ascii="仿宋_GB2312" w:hAnsi="仿宋_GB2312" w:eastAsia="仿宋_GB2312" w:cs="仿宋_GB2312"/>
          <w:sz w:val="32"/>
          <w:szCs w:val="32"/>
        </w:rPr>
        <w:t>。加上市以上补助收入、上年结余收入、债务转贷收入等，收入总计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344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505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万元。一般公共预算支出完成</w:t>
      </w:r>
      <w:r>
        <w:rPr>
          <w:rFonts w:hint="eastAsia" w:ascii="Times New Roman" w:hAnsi="Times New Roman" w:eastAsia="仿宋_GB2312" w:cs="仿宋_GB2312"/>
          <w:sz w:val="32"/>
          <w:szCs w:val="32"/>
        </w:rPr>
        <w:t>276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638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103%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，同比增长</w:t>
      </w:r>
      <w:r>
        <w:rPr>
          <w:rFonts w:hint="eastAsia" w:ascii="Times New Roman" w:hAnsi="Times New Roman" w:eastAsia="仿宋_GB2312" w:cs="仿宋_GB2312"/>
          <w:sz w:val="32"/>
          <w:szCs w:val="32"/>
        </w:rPr>
        <w:t>14%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，加上上解上级支出、债务还本支出、结转下年继续使用专项支出等，支出总计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344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505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年收支相抵，实现收支平衡。</w:t>
      </w:r>
      <w:bookmarkStart w:id="0" w:name="_MON_1781176281"/>
      <w:bookmarkEnd w:id="0"/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object>
          <v:shape id="_x0000_i1025" o:spt="75" type="#_x0000_t75" style="height:249.75pt;width:428.25pt;" o:ole="t" filled="f" o:preferrelative="f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从收入决算情况看税收收入完成</w:t>
      </w:r>
      <w:r>
        <w:rPr>
          <w:rFonts w:hint="eastAsia" w:ascii="Times New Roman" w:hAnsi="Times New Roman" w:eastAsia="仿宋_GB2312" w:cs="仿宋_GB2312"/>
          <w:sz w:val="32"/>
          <w:szCs w:val="32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590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Times New Roman" w:hAnsi="Times New Roman" w:eastAsia="仿宋_GB2312" w:cs="仿宋_GB2312"/>
          <w:sz w:val="32"/>
          <w:szCs w:val="32"/>
        </w:rPr>
        <w:t>17.3%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，占一般公共预算收入的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71.1%</w:t>
      </w:r>
      <w:r>
        <w:rPr>
          <w:rFonts w:hint="eastAsia" w:ascii="仿宋_GB2312" w:hAnsi="仿宋_GB2312" w:eastAsia="仿宋_GB2312" w:cs="仿宋_GB2312"/>
          <w:sz w:val="32"/>
          <w:szCs w:val="32"/>
        </w:rPr>
        <w:t>；非税收入完成</w:t>
      </w:r>
      <w:r>
        <w:rPr>
          <w:rFonts w:hint="eastAsia" w:ascii="Times New Roman" w:hAnsi="Times New Roman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814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Times New Roman" w:hAnsi="Times New Roman" w:eastAsia="仿宋_GB2312" w:cs="仿宋_GB2312"/>
          <w:sz w:val="32"/>
          <w:szCs w:val="32"/>
        </w:rPr>
        <w:t>3.5%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，占一般公共预算收入的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28.9%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" w:hAnsi="仿宋" w:eastAsia="仿宋" w:cs="Times New Roman"/>
          <w:sz w:val="32"/>
          <w:szCs w:val="32"/>
        </w:rPr>
      </w:pPr>
      <w:bookmarkStart w:id="1" w:name="_MON_1781180916"/>
      <w:bookmarkEnd w:id="1"/>
      <w:r>
        <w:rPr>
          <w:rFonts w:ascii="仿宋" w:hAnsi="仿宋" w:eastAsia="仿宋" w:cs="Times New Roman"/>
          <w:sz w:val="32"/>
          <w:szCs w:val="32"/>
        </w:rPr>
        <w:object>
          <v:shape id="_x0000_i1026" o:spt="75" type="#_x0000_t75" style="height:124.7pt;width:422.75pt;" o:ole="t" filled="f" o:preferrelative="f" stroked="f" coordsize="21600,21600">
            <v:path/>
            <v:fill on="f" focussize="0,0"/>
            <v:stroke on="f" joinstyle="miter"/>
            <v:imagedata r:id="rId8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7">
            <o:LockedField>false</o:LockedField>
          </o:OLEObject>
        </w:object>
      </w:r>
    </w:p>
    <w:p>
      <w:pPr>
        <w:rPr>
          <w:rFonts w:ascii="仿宋" w:hAnsi="仿宋" w:eastAsia="仿宋" w:cs="Times New Roman"/>
          <w:sz w:val="32"/>
          <w:szCs w:val="32"/>
        </w:rPr>
      </w:pPr>
      <w:bookmarkStart w:id="2" w:name="_MON_1781182063"/>
      <w:bookmarkEnd w:id="2"/>
      <w:bookmarkStart w:id="3" w:name="OLE_LINK1"/>
      <w:r>
        <w:rPr>
          <w:rFonts w:ascii="仿宋" w:hAnsi="仿宋" w:eastAsia="仿宋" w:cs="Times New Roman"/>
          <w:sz w:val="32"/>
          <w:szCs w:val="32"/>
        </w:rPr>
        <w:object>
          <v:shape id="_x0000_i1027" o:spt="75" type="#_x0000_t75" style="height:266.5pt;width:417.75pt;" o:ole="t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  <o:OLEObject Type="Embed" ProgID="Excel.Sheet.12" ShapeID="_x0000_i1027" DrawAspect="Content" ObjectID="_1468075727" r:id="rId9">
            <o:LockedField>false</o:LockedField>
          </o:OLEObject>
        </w:object>
      </w:r>
      <w:bookmarkEnd w:id="3"/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从支出决算看，一般公共预算支出</w:t>
      </w:r>
      <w:r>
        <w:rPr>
          <w:rFonts w:hint="eastAsia" w:ascii="Times New Roman" w:hAnsi="Times New Roman" w:eastAsia="仿宋_GB2312" w:cs="仿宋_GB2312"/>
          <w:sz w:val="32"/>
          <w:szCs w:val="32"/>
        </w:rPr>
        <w:t>276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638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万元；比年初预算</w:t>
      </w:r>
      <w:r>
        <w:rPr>
          <w:rFonts w:hint="eastAsia" w:ascii="Times New Roman" w:hAnsi="Times New Roman" w:eastAsia="仿宋_GB2312" w:cs="仿宋_GB2312"/>
          <w:sz w:val="32"/>
          <w:szCs w:val="32"/>
        </w:rPr>
        <w:t>267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369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万元增加了</w:t>
      </w:r>
      <w:r>
        <w:rPr>
          <w:rFonts w:hint="eastAsia" w:ascii="Times New Roman" w:hAnsi="Times New Roman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269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万元，（主要是做预算时上级专项不提前告知，决算时含上级专项支出）完成年初预算的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103%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bookmarkStart w:id="4" w:name="_MON_1781194634"/>
      <w:bookmarkEnd w:id="4"/>
      <w:r>
        <w:rPr>
          <w:rFonts w:ascii="仿宋" w:hAnsi="仿宋" w:eastAsia="仿宋" w:cs="Times New Roman"/>
          <w:sz w:val="32"/>
          <w:szCs w:val="32"/>
        </w:rPr>
        <w:object>
          <v:shape id="_x0000_i1028" o:spt="75" type="#_x0000_t75" style="height:264.75pt;width:429pt;" o:ole="t" filled="f" o:preferrelative="f" stroked="f" coordsize="21600,21600">
            <v:path/>
            <v:fill on="f" focussize="0,0"/>
            <v:stroke on="f" joinstyle="miter"/>
            <v:imagedata r:id="rId12" o:title=""/>
            <o:lock v:ext="edit" aspectratio="f"/>
            <w10:wrap type="none"/>
            <w10:anchorlock/>
          </v:shape>
          <o:OLEObject Type="Embed" ProgID="Excel.Sheet.12" ShapeID="_x0000_i1028" DrawAspect="Content" ObjectID="_1468075728" r:id="rId11">
            <o:LockedField>false</o:LockedField>
          </o:OLEObject>
        </w:object>
      </w:r>
      <w:r>
        <w:rPr>
          <w:rFonts w:hint="eastAsia"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（二）政府性基金预算收支情况</w:t>
      </w:r>
    </w:p>
    <w:p>
      <w:pPr>
        <w:spacing w:line="600" w:lineRule="exact"/>
        <w:ind w:right="84" w:rightChars="40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政府性基金收入完成</w:t>
      </w:r>
      <w:r>
        <w:rPr>
          <w:rFonts w:hint="eastAsia"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059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32.8%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，同比下降</w:t>
      </w:r>
      <w:r>
        <w:rPr>
          <w:rFonts w:hint="eastAsia" w:ascii="Times New Roman" w:hAnsi="Times New Roman" w:eastAsia="仿宋_GB2312" w:cs="仿宋_GB2312"/>
          <w:sz w:val="32"/>
          <w:szCs w:val="32"/>
        </w:rPr>
        <w:t>73.8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，加上市以上补助收入、地方政府专项债务转贷收入、上年结余收入等，收入总计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214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万元。政府性基金支出完成</w:t>
      </w:r>
      <w:r>
        <w:rPr>
          <w:rFonts w:hint="eastAsia" w:ascii="Times New Roman" w:hAnsi="Times New Roman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864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52.6%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，同比下降</w:t>
      </w:r>
      <w:r>
        <w:rPr>
          <w:rFonts w:hint="eastAsia" w:ascii="Times New Roman" w:hAnsi="Times New Roman" w:eastAsia="仿宋_GB2312" w:cs="仿宋_GB2312"/>
          <w:sz w:val="32"/>
          <w:szCs w:val="32"/>
        </w:rPr>
        <w:t>22%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，加上上解上级支出、地方政府专项债务还本支出、年终结余等，支出总计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214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年收支相抵，实现收支平衡。</w:t>
      </w:r>
    </w:p>
    <w:p>
      <w:pPr>
        <w:rPr>
          <w:rFonts w:ascii="仿宋" w:hAnsi="仿宋" w:eastAsia="仿宋" w:cs="Times New Roman"/>
          <w:sz w:val="32"/>
          <w:szCs w:val="32"/>
        </w:rPr>
      </w:pPr>
      <w:bookmarkStart w:id="5" w:name="_MON_1781198988"/>
      <w:bookmarkEnd w:id="5"/>
      <w:r>
        <w:rPr>
          <w:rFonts w:ascii="仿宋" w:hAnsi="仿宋" w:eastAsia="仿宋" w:cs="Times New Roman"/>
          <w:sz w:val="32"/>
          <w:szCs w:val="32"/>
        </w:rPr>
        <w:object>
          <v:shape id="_x0000_i1029" o:spt="75" type="#_x0000_t75" style="height:112.5pt;width:410.25pt;" o:ole="t" filled="f" o:preferrelative="f" stroked="f" coordsize="21600,21600">
            <v:path/>
            <v:fill on="f" focussize="0,0"/>
            <v:stroke on="f" joinstyle="miter"/>
            <v:imagedata r:id="rId14" o:title=""/>
            <o:lock v:ext="edit" aspectratio="f"/>
            <w10:wrap type="none"/>
            <w10:anchorlock/>
          </v:shape>
          <o:OLEObject Type="Embed" ProgID="Excel.Sheet.12" ShapeID="_x0000_i1029" DrawAspect="Content" ObjectID="_1468075729" r:id="rId13">
            <o:LockedField>false</o:LockedField>
          </o:OLEObject>
        </w:object>
      </w:r>
    </w:p>
    <w:p>
      <w:pPr>
        <w:rPr>
          <w:rFonts w:ascii="仿宋" w:hAnsi="仿宋" w:eastAsia="仿宋" w:cs="Times New Roman"/>
          <w:sz w:val="32"/>
          <w:szCs w:val="32"/>
        </w:rPr>
      </w:pPr>
      <w:bookmarkStart w:id="6" w:name="_MON_1781199335"/>
      <w:bookmarkEnd w:id="6"/>
      <w:r>
        <w:rPr>
          <w:rFonts w:ascii="仿宋" w:hAnsi="仿宋" w:eastAsia="仿宋" w:cs="Times New Roman"/>
          <w:sz w:val="32"/>
          <w:szCs w:val="32"/>
        </w:rPr>
        <w:object>
          <v:shape id="_x0000_i1030" o:spt="75" type="#_x0000_t75" style="height:105pt;width:411pt;" o:ole="t" filled="f" o:preferrelative="f" stroked="f" coordsize="21600,21600">
            <v:path/>
            <v:fill on="f" focussize="0,0"/>
            <v:stroke on="f" joinstyle="miter"/>
            <v:imagedata r:id="rId16" o:title=""/>
            <o:lock v:ext="edit" aspectratio="f"/>
            <w10:wrap type="none"/>
            <w10:anchorlock/>
          </v:shape>
          <o:OLEObject Type="Embed" ProgID="Excel.Sheet.12" ShapeID="_x0000_i1030" DrawAspect="Content" ObjectID="_1468075730" r:id="rId15">
            <o:LockedField>false</o:LockedField>
          </o:OLEObject>
        </w:object>
      </w:r>
    </w:p>
    <w:p>
      <w:pPr>
        <w:rPr>
          <w:rFonts w:ascii="仿宋" w:hAnsi="仿宋" w:eastAsia="仿宋" w:cs="Times New Roman"/>
          <w:sz w:val="32"/>
          <w:szCs w:val="32"/>
        </w:rPr>
      </w:pPr>
      <w:bookmarkStart w:id="7" w:name="_MON_1781199636"/>
      <w:bookmarkEnd w:id="7"/>
      <w:r>
        <w:rPr>
          <w:rFonts w:ascii="仿宋" w:hAnsi="仿宋" w:eastAsia="仿宋" w:cs="Times New Roman"/>
          <w:sz w:val="32"/>
          <w:szCs w:val="32"/>
        </w:rPr>
        <w:object>
          <v:shape id="_x0000_i1031" o:spt="75" type="#_x0000_t75" style="height:183pt;width:409.5pt;" o:ole="t" filled="f" o:preferrelative="f" stroked="f" coordsize="21600,21600">
            <v:path/>
            <v:fill on="f" focussize="0,0"/>
            <v:stroke on="f" joinstyle="miter"/>
            <v:imagedata r:id="rId18" o:title=""/>
            <o:lock v:ext="edit" aspectratio="f"/>
            <w10:wrap type="none"/>
            <w10:anchorlock/>
          </v:shape>
          <o:OLEObject Type="Embed" ProgID="Excel.Sheet.12" ShapeID="_x0000_i1031" DrawAspect="Content" ObjectID="_1468075731" r:id="rId17">
            <o:LockedField>false</o:LockedField>
          </o:OLEObject>
        </w:objec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（三）国有资本经营预算收支情况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国有资本经营预算收入完成</w:t>
      </w:r>
      <w:r>
        <w:rPr>
          <w:rFonts w:hint="eastAsia" w:ascii="Times New Roman" w:hAnsi="Times New Roman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471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万元，加上市以上补助收入、上年结余，收入总计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607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万元，国有资本经营预算支出</w:t>
      </w:r>
      <w:r>
        <w:rPr>
          <w:rFonts w:hint="eastAsia" w:ascii="Times New Roman" w:hAnsi="Times New Roman" w:eastAsia="仿宋_GB2312" w:cs="仿宋_GB2312"/>
          <w:sz w:val="32"/>
          <w:szCs w:val="32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万元，加上调出至一般公共预算统筹使用、年终结余，支出总计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607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年收支相抵，实现收支平衡。</w:t>
      </w:r>
    </w:p>
    <w:p>
      <w:pPr>
        <w:rPr>
          <w:rFonts w:ascii="仿宋" w:hAnsi="仿宋" w:eastAsia="仿宋" w:cs="Times New Roman"/>
          <w:sz w:val="32"/>
          <w:szCs w:val="32"/>
        </w:rPr>
      </w:pPr>
      <w:bookmarkStart w:id="8" w:name="_MON_1781201269"/>
      <w:bookmarkEnd w:id="8"/>
      <w:r>
        <w:rPr>
          <w:rFonts w:ascii="仿宋" w:hAnsi="仿宋" w:eastAsia="仿宋" w:cs="Times New Roman"/>
          <w:sz w:val="32"/>
          <w:szCs w:val="32"/>
        </w:rPr>
        <w:object>
          <v:shape id="_x0000_i1032" o:spt="75" type="#_x0000_t75" style="height:171.75pt;width:428.25pt;" o:ole="t" filled="f" o:preferrelative="f" stroked="f" coordsize="21600,21600">
            <v:path/>
            <v:fill on="f" focussize="0,0"/>
            <v:stroke on="f" joinstyle="miter"/>
            <v:imagedata r:id="rId20" o:title=""/>
            <o:lock v:ext="edit" aspectratio="f"/>
            <w10:wrap type="none"/>
            <w10:anchorlock/>
          </v:shape>
          <o:OLEObject Type="Embed" ProgID="Excel.Sheet.12" ShapeID="_x0000_i1032" DrawAspect="Content" ObjectID="_1468075732" r:id="rId19">
            <o:LockedField>false</o:LockedField>
          </o:OLEObject>
        </w:objec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（四）社会保险基金预算收支情况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社会保险基金收入完成</w:t>
      </w:r>
      <w:r>
        <w:rPr>
          <w:rFonts w:hint="eastAsia" w:ascii="Times New Roman" w:hAnsi="Times New Roman" w:eastAsia="仿宋_GB2312" w:cs="仿宋_GB2312"/>
          <w:sz w:val="32"/>
          <w:szCs w:val="32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173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Times New Roman" w:hAnsi="Times New Roman" w:eastAsia="仿宋_GB2312" w:cs="仿宋_GB2312"/>
          <w:sz w:val="32"/>
          <w:szCs w:val="32"/>
        </w:rPr>
        <w:t>4.87%</w:t>
      </w:r>
      <w:r>
        <w:rPr>
          <w:rFonts w:hint="eastAsia" w:ascii="仿宋_GB2312" w:hAnsi="仿宋_GB2312" w:eastAsia="仿宋_GB2312" w:cs="仿宋_GB2312"/>
          <w:sz w:val="32"/>
          <w:szCs w:val="32"/>
        </w:rPr>
        <w:t>；支出完成</w:t>
      </w:r>
      <w:r>
        <w:rPr>
          <w:rFonts w:hint="eastAsia" w:ascii="Times New Roman" w:hAnsi="Times New Roman" w:eastAsia="仿宋_GB2312" w:cs="仿宋_GB2312"/>
          <w:sz w:val="32"/>
          <w:szCs w:val="32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913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Times New Roman" w:hAnsi="Times New Roman" w:eastAsia="仿宋_GB2312" w:cs="仿宋_GB2312"/>
          <w:sz w:val="32"/>
          <w:szCs w:val="32"/>
        </w:rPr>
        <w:t>6.97%</w:t>
      </w:r>
      <w:r>
        <w:rPr>
          <w:rFonts w:hint="eastAsia" w:ascii="仿宋_GB2312" w:hAnsi="仿宋_GB2312" w:eastAsia="仿宋_GB2312" w:cs="仿宋_GB2312"/>
          <w:sz w:val="32"/>
          <w:szCs w:val="32"/>
        </w:rPr>
        <w:t>。当年收支结余</w:t>
      </w:r>
      <w:r>
        <w:rPr>
          <w:rFonts w:hint="eastAsia" w:ascii="Times New Roman" w:hAnsi="Times New Roman" w:eastAsia="仿宋_GB2312" w:cs="仿宋_GB2312"/>
          <w:sz w:val="32"/>
          <w:szCs w:val="32"/>
        </w:rPr>
        <w:t>260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万元，滚存结余</w:t>
      </w:r>
      <w:r>
        <w:rPr>
          <w:rFonts w:hint="eastAsia" w:ascii="Times New Roman" w:hAnsi="Times New Roman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268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rFonts w:ascii="仿宋" w:hAnsi="仿宋" w:eastAsia="仿宋" w:cs="Times New Roman"/>
          <w:sz w:val="32"/>
          <w:szCs w:val="32"/>
        </w:rPr>
      </w:pPr>
      <w:bookmarkStart w:id="9" w:name="_MON_1781202672"/>
      <w:bookmarkEnd w:id="9"/>
      <w:r>
        <w:rPr>
          <w:rFonts w:ascii="仿宋" w:hAnsi="仿宋" w:eastAsia="仿宋" w:cs="Times New Roman"/>
          <w:sz w:val="32"/>
          <w:szCs w:val="32"/>
        </w:rPr>
        <w:object>
          <v:shape id="_x0000_i1033" o:spt="75" type="#_x0000_t75" style="height:155.25pt;width:408pt;" o:ole="t" filled="f" o:preferrelative="f" stroked="f" coordsize="21600,21600">
            <v:path/>
            <v:fill on="f" focussize="0,0"/>
            <v:stroke on="f" joinstyle="miter"/>
            <v:imagedata r:id="rId22" o:title=""/>
            <o:lock v:ext="edit" aspectratio="f"/>
            <w10:wrap type="none"/>
            <w10:anchorlock/>
          </v:shape>
          <o:OLEObject Type="Embed" ProgID="Excel.Sheet.12" ShapeID="_x0000_i1033" DrawAspect="Content" ObjectID="_1468075733" r:id="rId21">
            <o:LockedField>false</o:LockedField>
          </o:OLEObject>
        </w:objec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（五）政府债务情况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年末，政府债务余额</w:t>
      </w:r>
      <w:r>
        <w:rPr>
          <w:rFonts w:hint="eastAsia" w:ascii="Times New Roman" w:hAnsi="Times New Roman" w:eastAsia="仿宋_GB2312" w:cs="仿宋_GB2312"/>
          <w:sz w:val="32"/>
          <w:szCs w:val="32"/>
        </w:rPr>
        <w:t>304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147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万元。其中：法定债务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531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万元；隐性债务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193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998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万元；市划县承担债务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618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年债务还本付息共计完成</w:t>
      </w:r>
      <w:r>
        <w:rPr>
          <w:rFonts w:hint="eastAsia" w:ascii="Times New Roman" w:hAnsi="Times New Roman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164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00" w:lineRule="exact"/>
        <w:ind w:right="84" w:rightChars="40"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二、落实县人大预算决议有关情况</w:t>
      </w:r>
    </w:p>
    <w:p>
      <w:pPr>
        <w:spacing w:line="600" w:lineRule="exact"/>
        <w:ind w:right="84" w:rightChars="4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全县各部门严格按照县人大批准的预算，有效发挥职能作用，落实减税降费政策，保持适度支出强度，有效化解各类风险，持续改善和保障民生，积极支持经济高质量发展，保障了全县经济社会平稳健康发展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（一）全力争取政策资金，增强财政保障能力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坚持把争取资金作为财政工作的首要任务，紧紧围绕辽东绿色经济区、重点生态功能区、水源地保护、产业升级、乡村振兴、文旅产业发展和新型城镇化建设等重点领域，全力争取上级转移支付资金。发挥财政职能作用，提前谋划，努力增加收入规模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积极主动配合相关部门和项目单位，加快项目上报，形成争资工作网络和工作合力。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（二）坚持依法征收，确保财政收入稳步增长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强化财税征管。财税部门密切配合，认真研究国家税收政策，加强对重点行业、重点税源的监控分析，采取切实有效措施，有力堵塞征收漏洞，确保收入应收尽收；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加强财政非税收入的征管，对收入单位进行全面排查，挖掘非税收入征收潜力，努力增加财政收入。全县一般公共预算收入完成</w:t>
      </w:r>
      <w:r>
        <w:rPr>
          <w:rFonts w:hint="eastAsia" w:ascii="Times New Roman" w:hAnsi="Times New Roman" w:eastAsia="仿宋_GB2312" w:cs="仿宋_GB2312"/>
          <w:sz w:val="32"/>
          <w:szCs w:val="32"/>
        </w:rPr>
        <w:t>8.24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亿元，同口径增长</w:t>
      </w:r>
      <w:r>
        <w:rPr>
          <w:rFonts w:hint="eastAsia" w:ascii="Times New Roman" w:hAnsi="Times New Roman" w:eastAsia="仿宋_GB2312" w:cs="仿宋_GB2312"/>
          <w:sz w:val="32"/>
          <w:szCs w:val="32"/>
        </w:rPr>
        <w:t>12.9%</w:t>
      </w:r>
      <w:r>
        <w:rPr>
          <w:rFonts w:hint="eastAsia" w:ascii="仿宋_GB2312" w:hAnsi="仿宋_GB2312" w:eastAsia="仿宋_GB2312" w:cs="仿宋_GB2312"/>
          <w:sz w:val="32"/>
          <w:szCs w:val="32"/>
        </w:rPr>
        <w:t>,总量位列全市首位。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（三）优化支出结构，统筹发展各项社会事业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发挥财政职能作用，优化支出结构，合理调度资金，坚持“三保”支出在预算安排中的优先顺序，全力兜牢“三保”底线，全年“三保”支出及刚性支出总计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158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571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万元（三保支出</w:t>
      </w:r>
      <w:r>
        <w:rPr>
          <w:rFonts w:hint="eastAsia" w:ascii="Times New Roman" w:hAnsi="Times New Roman" w:eastAsia="仿宋_GB2312" w:cs="仿宋_GB2312"/>
          <w:sz w:val="32"/>
          <w:szCs w:val="32"/>
        </w:rPr>
        <w:t>124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170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万元，刚性支出</w:t>
      </w:r>
      <w:r>
        <w:rPr>
          <w:rFonts w:hint="eastAsia" w:ascii="Times New Roman" w:hAnsi="Times New Roman" w:eastAsia="仿宋_GB2312" w:cs="仿宋_GB2312"/>
          <w:sz w:val="32"/>
          <w:szCs w:val="32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401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万元），其中：保民生支出</w:t>
      </w:r>
      <w:r>
        <w:rPr>
          <w:rFonts w:hint="eastAsia" w:ascii="Times New Roman" w:hAnsi="Times New Roman" w:eastAsia="仿宋_GB2312" w:cs="仿宋_GB2312"/>
          <w:sz w:val="32"/>
          <w:szCs w:val="32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256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万元，保工资支出</w:t>
      </w:r>
      <w:r>
        <w:rPr>
          <w:rFonts w:hint="eastAsia" w:ascii="Times New Roman" w:hAnsi="Times New Roman" w:eastAsia="仿宋_GB2312" w:cs="仿宋_GB2312"/>
          <w:sz w:val="32"/>
          <w:szCs w:val="32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639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万元，保运转支出</w:t>
      </w:r>
      <w:r>
        <w:rPr>
          <w:rFonts w:hint="eastAsia"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275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万元，其他刚性支出</w:t>
      </w:r>
      <w:r>
        <w:rPr>
          <w:rFonts w:hint="eastAsia" w:ascii="Times New Roman" w:hAnsi="Times New Roman" w:eastAsia="仿宋_GB2312" w:cs="仿宋_GB2312"/>
          <w:sz w:val="32"/>
          <w:szCs w:val="32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401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加大“四本预算”统筹衔接力度，将政府性基金预算、国有资本经营预算等</w:t>
      </w:r>
      <w:r>
        <w:rPr>
          <w:rFonts w:hint="eastAsia" w:ascii="Times New Roman" w:hAnsi="Times New Roman" w:eastAsia="仿宋_GB2312" w:cs="仿宋_GB2312"/>
          <w:sz w:val="32"/>
          <w:szCs w:val="32"/>
        </w:rPr>
        <w:t>1.84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亿元调入一般公共预算使用；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实施部门存量资金常态化收回机制，盘活存量资金</w:t>
      </w:r>
      <w:r>
        <w:rPr>
          <w:rFonts w:hint="eastAsia" w:ascii="Times New Roman" w:hAnsi="Times New Roman" w:eastAsia="仿宋_GB2312" w:cs="仿宋_GB2312"/>
          <w:sz w:val="32"/>
          <w:szCs w:val="32"/>
        </w:rPr>
        <w:t>0.4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亿元，统筹用于其他急需领域。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（四）防范财政运行风险，保持经济发展社会大局稳定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贯彻落实政府债务管理规定，坚决遏制隐性债务增量，切实防范债务风险，全年按时足额偿还债务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164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开展财政承受能力评估，对超出地方财力承受能力的项目不予申报，将极其有限的财力全部用于保“三保”、刚性支出；防范国库运行风险，保障按进度拨付资金，避免集中支付风险，严格规范库款拨付，保障信息反馈和实时查询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（五）落实稳经济政策，促进财政发展提质增效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全面落实增值税留抵退税等组合式税费支持政策，助企纾困，促进就业，助力县域经济发展；兜牢“三保”支出底线；积极培植财源，推进财政可持续发展；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认真贯彻落实辽宁全面振兴新突破三年行动计划，聚焦全面振兴新突破三年行动，克服经济形势下行等不利因素，不断强化增收意识，采取有力措施，确保了一般公共预算收入全年增长</w:t>
      </w:r>
      <w:r>
        <w:rPr>
          <w:rFonts w:hint="eastAsia" w:ascii="Times New Roman" w:hAnsi="Times New Roman" w:eastAsia="仿宋_GB2312" w:cs="仿宋_GB2312"/>
          <w:sz w:val="32"/>
          <w:szCs w:val="32"/>
        </w:rPr>
        <w:t>12.9%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，为全县经济社会发展贡献力量。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年财政各项工作圆满完成，是县委、县政府正确领导的结果，是县人大依法监督、政协民主监督的结果。但是，我们也清醒地认识到，全县财政运行中还存在不少问题，主要表现在：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存量税源不足、经济总量小、财政收入不确定性因素增加；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财政刚性支出规模不断扩大，社会保障、医疗、教育、农业等县级配套支出大幅度增加，财力规模与支出需求仍不匹配，财政运行仍比较困难。以上问题需要在今后的工作中逐步加以解决。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三、下一步工作思路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财政部门将认真贯彻落实人大意见和建议，认真履行财政职能，不断提升财政管理水平，为全县经济社会高质量发展提供更加坚强的财政保障。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（一）狠抓财政收入，全力推动经济社会发展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部门与税务等相关部门密切配合，加强组织收入协调工作，围绕征收薄弱环节，加强税源动态监控和分析，完善重点行业、重大项目、重点税源的征管，实现信息共享，确保收入均衡入库；进一步优化财政收入结构，强化非税收入管理，增强政府统筹能力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（二）继续优化财政支出结构，确保预算收支平衡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预算约束，坚持先有预算、后有支出，强化支出管理，优化支出结构，按照保工资、保运转、保重点的原则，合理安排支出，严格控制“三公经费”等一般性支出，努力降低行政运行成本，确保当年收支平衡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（三）发挥财政职能作用，服务县域经济发展</w:t>
      </w:r>
    </w:p>
    <w:p>
      <w:pPr>
        <w:pStyle w:val="5"/>
        <w:spacing w:before="0" w:beforeAutospacing="0" w:after="0" w:afterAutospacing="0" w:line="600" w:lineRule="exact"/>
        <w:ind w:firstLine="668" w:firstLineChars="209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围绕县委、县政府总体部署，服务县域经济发展。积极争取上级专项资金和政策扶持，整合各类资金资源，保障重点投资领域资金需求，推动重点项目建设，促进经济平稳发展。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Times New Roman"/>
          <w:kern w:val="2"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117583243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117583243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1YTkzMDYwYjk4NGNiMTE1MTdiZDRhM2E4ZmNjN2UifQ=="/>
  </w:docVars>
  <w:rsids>
    <w:rsidRoot w:val="00F840FA"/>
    <w:rsid w:val="00065949"/>
    <w:rsid w:val="000A43A7"/>
    <w:rsid w:val="000A7EED"/>
    <w:rsid w:val="000B5B79"/>
    <w:rsid w:val="000C10C2"/>
    <w:rsid w:val="000F13A0"/>
    <w:rsid w:val="000F37DD"/>
    <w:rsid w:val="00101F4B"/>
    <w:rsid w:val="001469C1"/>
    <w:rsid w:val="001646FC"/>
    <w:rsid w:val="00165378"/>
    <w:rsid w:val="00170491"/>
    <w:rsid w:val="001725E8"/>
    <w:rsid w:val="001A47ED"/>
    <w:rsid w:val="001F575C"/>
    <w:rsid w:val="0021003E"/>
    <w:rsid w:val="0021202B"/>
    <w:rsid w:val="00225420"/>
    <w:rsid w:val="002270FD"/>
    <w:rsid w:val="002349DE"/>
    <w:rsid w:val="00242270"/>
    <w:rsid w:val="002D4937"/>
    <w:rsid w:val="00301057"/>
    <w:rsid w:val="0033561A"/>
    <w:rsid w:val="0034758F"/>
    <w:rsid w:val="00362842"/>
    <w:rsid w:val="003D6231"/>
    <w:rsid w:val="003F4E0C"/>
    <w:rsid w:val="004011C0"/>
    <w:rsid w:val="00425E34"/>
    <w:rsid w:val="00432FA2"/>
    <w:rsid w:val="00445E95"/>
    <w:rsid w:val="00452F10"/>
    <w:rsid w:val="004852F7"/>
    <w:rsid w:val="00492C82"/>
    <w:rsid w:val="00493E82"/>
    <w:rsid w:val="004A76CE"/>
    <w:rsid w:val="004B21B8"/>
    <w:rsid w:val="004B5862"/>
    <w:rsid w:val="005052A4"/>
    <w:rsid w:val="0052419C"/>
    <w:rsid w:val="00526CCA"/>
    <w:rsid w:val="00531AB9"/>
    <w:rsid w:val="005874E3"/>
    <w:rsid w:val="0059533E"/>
    <w:rsid w:val="005D770C"/>
    <w:rsid w:val="005E300C"/>
    <w:rsid w:val="00600BDF"/>
    <w:rsid w:val="006170CB"/>
    <w:rsid w:val="00617EAB"/>
    <w:rsid w:val="00647AC6"/>
    <w:rsid w:val="00653461"/>
    <w:rsid w:val="00663BC7"/>
    <w:rsid w:val="00682270"/>
    <w:rsid w:val="006864EB"/>
    <w:rsid w:val="006B37CA"/>
    <w:rsid w:val="006C49B5"/>
    <w:rsid w:val="006D5448"/>
    <w:rsid w:val="007244D6"/>
    <w:rsid w:val="00772C65"/>
    <w:rsid w:val="007968A5"/>
    <w:rsid w:val="007A0846"/>
    <w:rsid w:val="007A2F59"/>
    <w:rsid w:val="007A752C"/>
    <w:rsid w:val="007D4D20"/>
    <w:rsid w:val="00822E1A"/>
    <w:rsid w:val="00831A19"/>
    <w:rsid w:val="00885BA8"/>
    <w:rsid w:val="008A00E4"/>
    <w:rsid w:val="008B7935"/>
    <w:rsid w:val="008E5BF8"/>
    <w:rsid w:val="00931EA7"/>
    <w:rsid w:val="00983AF8"/>
    <w:rsid w:val="00985B58"/>
    <w:rsid w:val="009A0FC1"/>
    <w:rsid w:val="009B1C54"/>
    <w:rsid w:val="009C6C2E"/>
    <w:rsid w:val="009F30FA"/>
    <w:rsid w:val="00A176EB"/>
    <w:rsid w:val="00A17DAE"/>
    <w:rsid w:val="00A350B3"/>
    <w:rsid w:val="00A4191E"/>
    <w:rsid w:val="00A456AB"/>
    <w:rsid w:val="00A73D26"/>
    <w:rsid w:val="00A762E9"/>
    <w:rsid w:val="00AF50FD"/>
    <w:rsid w:val="00B00CEC"/>
    <w:rsid w:val="00B0380F"/>
    <w:rsid w:val="00B11F31"/>
    <w:rsid w:val="00B1271E"/>
    <w:rsid w:val="00B7050D"/>
    <w:rsid w:val="00B8257F"/>
    <w:rsid w:val="00BA772A"/>
    <w:rsid w:val="00BC3FF6"/>
    <w:rsid w:val="00BD3440"/>
    <w:rsid w:val="00C3790A"/>
    <w:rsid w:val="00C5753E"/>
    <w:rsid w:val="00CA7802"/>
    <w:rsid w:val="00CB2348"/>
    <w:rsid w:val="00CC1454"/>
    <w:rsid w:val="00CD2C8B"/>
    <w:rsid w:val="00CD36B4"/>
    <w:rsid w:val="00CF6B08"/>
    <w:rsid w:val="00D06CB1"/>
    <w:rsid w:val="00D16258"/>
    <w:rsid w:val="00D43E9B"/>
    <w:rsid w:val="00D45090"/>
    <w:rsid w:val="00D75325"/>
    <w:rsid w:val="00D86F09"/>
    <w:rsid w:val="00DA6AFB"/>
    <w:rsid w:val="00DF4B18"/>
    <w:rsid w:val="00E133BC"/>
    <w:rsid w:val="00E14586"/>
    <w:rsid w:val="00E55DF9"/>
    <w:rsid w:val="00E75280"/>
    <w:rsid w:val="00E77376"/>
    <w:rsid w:val="00E87FF0"/>
    <w:rsid w:val="00EB5AA0"/>
    <w:rsid w:val="00EE20F0"/>
    <w:rsid w:val="00EF46B9"/>
    <w:rsid w:val="00F16C91"/>
    <w:rsid w:val="00F775E9"/>
    <w:rsid w:val="00F840FA"/>
    <w:rsid w:val="00F92A5B"/>
    <w:rsid w:val="00F97DFC"/>
    <w:rsid w:val="00FE2426"/>
    <w:rsid w:val="00FE499A"/>
    <w:rsid w:val="0D494C15"/>
    <w:rsid w:val="15DB275F"/>
    <w:rsid w:val="45E1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pPr>
      <w:widowControl/>
      <w:jc w:val="left"/>
    </w:pPr>
    <w:rPr>
      <w:rFonts w:ascii="Verdana" w:hAnsi="Verdana" w:eastAsia="仿宋_GB2312" w:cs="Times New Roman"/>
      <w:kern w:val="0"/>
      <w:sz w:val="28"/>
      <w:szCs w:val="20"/>
      <w:lang w:eastAsia="en-US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customXml" Target="../customXml/item1.xml"/><Relationship Id="rId22" Type="http://schemas.openxmlformats.org/officeDocument/2006/relationships/image" Target="media/image9.emf"/><Relationship Id="rId21" Type="http://schemas.openxmlformats.org/officeDocument/2006/relationships/oleObject" Target="embeddings/oleObject9.bin"/><Relationship Id="rId20" Type="http://schemas.openxmlformats.org/officeDocument/2006/relationships/image" Target="media/image8.e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emf"/><Relationship Id="rId17" Type="http://schemas.openxmlformats.org/officeDocument/2006/relationships/oleObject" Target="embeddings/oleObject7.bin"/><Relationship Id="rId16" Type="http://schemas.openxmlformats.org/officeDocument/2006/relationships/image" Target="media/image6.emf"/><Relationship Id="rId15" Type="http://schemas.openxmlformats.org/officeDocument/2006/relationships/oleObject" Target="embeddings/oleObject6.bin"/><Relationship Id="rId14" Type="http://schemas.openxmlformats.org/officeDocument/2006/relationships/image" Target="media/image5.emf"/><Relationship Id="rId13" Type="http://schemas.openxmlformats.org/officeDocument/2006/relationships/oleObject" Target="embeddings/oleObject5.bin"/><Relationship Id="rId12" Type="http://schemas.openxmlformats.org/officeDocument/2006/relationships/image" Target="media/image4.emf"/><Relationship Id="rId11" Type="http://schemas.openxmlformats.org/officeDocument/2006/relationships/oleObject" Target="embeddings/oleObject4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F596A-13BC-4417-9D74-3D4DF09BA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484</Words>
  <Characters>2762</Characters>
  <Lines>23</Lines>
  <Paragraphs>6</Paragraphs>
  <TotalTime>71</TotalTime>
  <ScaleCrop>false</ScaleCrop>
  <LinksUpToDate>false</LinksUpToDate>
  <CharactersWithSpaces>3240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2024-07-10T11:02:00Z</dcterms:created>
  <dc:creator>Administrator</dc:creator>
  <cp:lastModifiedBy>Administrator</cp:lastModifiedBy>
  <cp:lastPrinted>2024-09-20T07:49:33Z</cp:lastPrinted>
  <dcterms:modified xsi:type="dcterms:W3CDTF">2024-09-20T08:44:51Z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E72A352583034C73B43D601144A6FE15_12</vt:lpwstr>
  </property>
</Properties>
</file>