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4BA" w:rsidRDefault="000B224B">
      <w:pPr>
        <w:autoSpaceDN w:val="0"/>
        <w:spacing w:after="300" w:line="600" w:lineRule="atLeast"/>
        <w:jc w:val="center"/>
        <w:rPr>
          <w:rFonts w:ascii="宋体" w:hAnsi="宋体" w:cs="宋体"/>
          <w:color w:val="333333"/>
          <w:sz w:val="44"/>
          <w:szCs w:val="44"/>
        </w:rPr>
      </w:pPr>
      <w:r>
        <w:rPr>
          <w:rFonts w:ascii="宋体" w:hAnsi="宋体" w:cs="宋体" w:hint="eastAsia"/>
          <w:color w:val="333333"/>
          <w:sz w:val="44"/>
          <w:szCs w:val="44"/>
        </w:rPr>
        <w:t>202</w:t>
      </w:r>
      <w:r>
        <w:rPr>
          <w:rFonts w:ascii="宋体" w:hAnsi="宋体" w:cs="宋体"/>
          <w:color w:val="333333"/>
          <w:sz w:val="44"/>
          <w:szCs w:val="44"/>
        </w:rPr>
        <w:t>3</w:t>
      </w:r>
      <w:bookmarkStart w:id="0" w:name="_GoBack"/>
      <w:bookmarkEnd w:id="0"/>
      <w:r>
        <w:rPr>
          <w:rFonts w:ascii="宋体" w:hAnsi="宋体" w:cs="宋体" w:hint="eastAsia"/>
          <w:color w:val="333333"/>
          <w:sz w:val="44"/>
          <w:szCs w:val="44"/>
        </w:rPr>
        <w:t>年本溪县预算绩效情况说明</w:t>
      </w:r>
    </w:p>
    <w:p w:rsidR="00C404BA" w:rsidRDefault="000B224B">
      <w:pPr>
        <w:spacing w:line="600" w:lineRule="exact"/>
        <w:ind w:firstLine="641"/>
        <w:jc w:val="both"/>
        <w:rPr>
          <w:rFonts w:ascii="仿宋" w:eastAsia="仿宋" w:hAnsi="仿宋" w:cs="宋体"/>
          <w:sz w:val="36"/>
          <w:szCs w:val="36"/>
        </w:rPr>
      </w:pPr>
      <w:r>
        <w:rPr>
          <w:rFonts w:ascii="仿宋" w:eastAsia="仿宋" w:hAnsi="仿宋" w:cs="仿宋" w:hint="eastAsia"/>
          <w:sz w:val="36"/>
          <w:szCs w:val="36"/>
        </w:rPr>
        <w:t>本溪县财政局认真贯彻中央和省市全面实施预算绩效管理工作的相关要求，积极推动构建全方位、全过程、全覆盖的预算绩效管理体系，做到花钱必问效，无效必问责。</w:t>
      </w:r>
    </w:p>
    <w:p w:rsidR="00C404BA" w:rsidRDefault="000B224B">
      <w:pPr>
        <w:spacing w:line="600" w:lineRule="exact"/>
        <w:ind w:firstLine="640"/>
        <w:jc w:val="both"/>
        <w:rPr>
          <w:rFonts w:ascii="仿宋" w:eastAsia="仿宋" w:hAnsi="仿宋" w:cs="仿宋"/>
          <w:sz w:val="36"/>
          <w:szCs w:val="36"/>
        </w:rPr>
      </w:pPr>
      <w:r>
        <w:rPr>
          <w:rFonts w:ascii="仿宋" w:eastAsia="仿宋" w:hAnsi="仿宋" w:cs="仿宋" w:hint="eastAsia"/>
          <w:sz w:val="36"/>
          <w:szCs w:val="36"/>
        </w:rPr>
        <w:t>1</w:t>
      </w:r>
      <w:r>
        <w:rPr>
          <w:rFonts w:ascii="仿宋" w:eastAsia="仿宋" w:hAnsi="仿宋" w:cs="仿宋" w:hint="eastAsia"/>
          <w:sz w:val="36"/>
          <w:szCs w:val="36"/>
        </w:rPr>
        <w:t>、绩效目标管理。强化项目绩效目标。年初对单位申报的预算项目进行全面梳理、加强审核、项目预算必须有明细的资金测算，对无具体内容、无绩效目标、无明细支出测算的，一律不予安排。</w:t>
      </w:r>
    </w:p>
    <w:p w:rsidR="00C404BA" w:rsidRDefault="000B224B">
      <w:pPr>
        <w:spacing w:line="600" w:lineRule="exact"/>
        <w:ind w:firstLine="640"/>
        <w:jc w:val="both"/>
        <w:rPr>
          <w:rFonts w:ascii="仿宋" w:eastAsia="仿宋" w:hAnsi="仿宋" w:cs="仿宋"/>
          <w:sz w:val="36"/>
          <w:szCs w:val="36"/>
        </w:rPr>
      </w:pPr>
      <w:r>
        <w:rPr>
          <w:rFonts w:ascii="仿宋" w:eastAsia="仿宋" w:hAnsi="仿宋" w:cs="仿宋" w:hint="eastAsia"/>
          <w:sz w:val="36"/>
          <w:szCs w:val="36"/>
        </w:rPr>
        <w:t>2</w:t>
      </w:r>
      <w:r>
        <w:rPr>
          <w:rFonts w:ascii="仿宋" w:eastAsia="仿宋" w:hAnsi="仿宋" w:cs="仿宋" w:hint="eastAsia"/>
          <w:sz w:val="36"/>
          <w:szCs w:val="36"/>
        </w:rPr>
        <w:t>、绩效监控管理。在加强预算编制环节的基础上，强化预算执行监管，将财政监督渗透到预算管理的事前、事中、事后各个环节。</w:t>
      </w:r>
    </w:p>
    <w:p w:rsidR="00C404BA" w:rsidRDefault="000B224B">
      <w:pPr>
        <w:spacing w:line="600" w:lineRule="exact"/>
        <w:ind w:firstLine="640"/>
        <w:jc w:val="both"/>
        <w:rPr>
          <w:rFonts w:ascii="仿宋" w:eastAsia="仿宋" w:hAnsi="仿宋" w:cs="仿宋"/>
          <w:sz w:val="36"/>
          <w:szCs w:val="36"/>
        </w:rPr>
      </w:pPr>
      <w:r>
        <w:rPr>
          <w:rFonts w:ascii="仿宋" w:eastAsia="仿宋" w:hAnsi="仿宋" w:cs="仿宋" w:hint="eastAsia"/>
          <w:sz w:val="36"/>
          <w:szCs w:val="36"/>
        </w:rPr>
        <w:t>3</w:t>
      </w:r>
      <w:r>
        <w:rPr>
          <w:rFonts w:ascii="仿宋" w:eastAsia="仿宋" w:hAnsi="仿宋" w:cs="仿宋" w:hint="eastAsia"/>
          <w:sz w:val="36"/>
          <w:szCs w:val="36"/>
        </w:rPr>
        <w:t>、绩效评价管理。在推动预算单位开展绩效自评工作的同时，也加大力度对一些项目进行重点评价，高效的推进预算绩效评价工作。</w:t>
      </w:r>
    </w:p>
    <w:p w:rsidR="00C404BA" w:rsidRDefault="000B224B">
      <w:pPr>
        <w:spacing w:line="600" w:lineRule="exact"/>
        <w:ind w:firstLine="641"/>
        <w:jc w:val="both"/>
        <w:rPr>
          <w:rFonts w:ascii="仿宋" w:eastAsia="仿宋" w:hAnsi="仿宋" w:cs="宋体"/>
          <w:sz w:val="36"/>
          <w:szCs w:val="36"/>
        </w:rPr>
      </w:pPr>
      <w:r>
        <w:rPr>
          <w:rFonts w:ascii="仿宋" w:eastAsia="仿宋" w:hAnsi="仿宋" w:cs="宋体" w:hint="eastAsia"/>
          <w:color w:val="333333"/>
          <w:sz w:val="36"/>
          <w:szCs w:val="36"/>
        </w:rPr>
        <w:t>4</w:t>
      </w:r>
      <w:r>
        <w:rPr>
          <w:rFonts w:ascii="仿宋" w:eastAsia="仿宋" w:hAnsi="仿宋" w:cs="宋体" w:hint="eastAsia"/>
          <w:color w:val="333333"/>
          <w:sz w:val="36"/>
          <w:szCs w:val="36"/>
        </w:rPr>
        <w:t>、</w:t>
      </w:r>
      <w:r>
        <w:rPr>
          <w:rFonts w:ascii="仿宋" w:eastAsia="仿宋" w:hAnsi="仿宋" w:cs="宋体" w:hint="eastAsia"/>
          <w:color w:val="333333"/>
          <w:sz w:val="36"/>
          <w:szCs w:val="36"/>
        </w:rPr>
        <w:t>强化</w:t>
      </w:r>
      <w:r>
        <w:rPr>
          <w:rFonts w:ascii="仿宋" w:eastAsia="仿宋" w:hAnsi="仿宋" w:cs="宋体" w:hint="eastAsia"/>
          <w:sz w:val="36"/>
          <w:szCs w:val="36"/>
        </w:rPr>
        <w:t>绩效评价结果应用。为确保监控和评价结果的应用，我县及时将监控和评价结果反馈单位，要求其根据绩效评价报告反映的问题和提出的建议，进一步改进管理措施，提高管理水平。并将绩效评价结果作为以后年度安排预算的依据，优化资源配置。</w:t>
      </w:r>
    </w:p>
    <w:sectPr w:rsidR="00C404B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BlZjljMDc5M2EwZGI1ODk3YWU2Y2Y0OGQ5ZTMzMmIifQ=="/>
  </w:docVars>
  <w:rsids>
    <w:rsidRoot w:val="00097D80"/>
    <w:rsid w:val="00097D80"/>
    <w:rsid w:val="000B224B"/>
    <w:rsid w:val="003D4840"/>
    <w:rsid w:val="00400B0F"/>
    <w:rsid w:val="00510FC3"/>
    <w:rsid w:val="00516307"/>
    <w:rsid w:val="006A6E91"/>
    <w:rsid w:val="0080696C"/>
    <w:rsid w:val="009D5508"/>
    <w:rsid w:val="00C404BA"/>
    <w:rsid w:val="170C3E5D"/>
    <w:rsid w:val="4457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28D6"/>
  <w15:docId w15:val="{E3BC9FB6-5E92-45CA-B88E-304ED932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sz w:val="18"/>
      <w:szCs w:val="18"/>
    </w:rPr>
  </w:style>
  <w:style w:type="character" w:customStyle="1" w:styleId="a4">
    <w:name w:val="页脚 字符"/>
    <w:link w:val="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Company>微软中国</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2019年本溪县预算绩效情况说明</dc:title>
  <dc:creator>ALIENWARE</dc:creator>
  <cp:lastModifiedBy>Administrator</cp:lastModifiedBy>
  <cp:revision>6</cp:revision>
  <dcterms:created xsi:type="dcterms:W3CDTF">2020-10-15T10:40:00Z</dcterms:created>
  <dcterms:modified xsi:type="dcterms:W3CDTF">2024-10-22T01:55:00Z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8E264A797D5D43ACA4448CF74880C6DB_12</vt:lpwstr>
  </property>
</Properties>
</file>